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8E6B6" w14:textId="24134488" w:rsidR="00BD1075" w:rsidRPr="008A76CD" w:rsidRDefault="005403DD" w:rsidP="00413ABE">
      <w:pPr>
        <w:spacing w:line="276" w:lineRule="auto"/>
        <w:jc w:val="center"/>
        <w:rPr>
          <w:b/>
          <w:bCs/>
          <w:lang w:val="en-US"/>
        </w:rPr>
      </w:pPr>
      <w:r w:rsidRPr="008A76CD">
        <w:rPr>
          <w:b/>
          <w:bCs/>
          <w:lang w:val="en-US"/>
        </w:rPr>
        <w:t>The use of rolling benchmarks within the JD Tracker</w:t>
      </w:r>
    </w:p>
    <w:p w14:paraId="1A437B22" w14:textId="53CC0336" w:rsidR="0033649C" w:rsidRDefault="007B66B0" w:rsidP="00413ABE">
      <w:pPr>
        <w:spacing w:line="276" w:lineRule="auto"/>
        <w:jc w:val="both"/>
        <w:rPr>
          <w:lang w:val="en-US"/>
        </w:rPr>
      </w:pPr>
      <w:r>
        <w:rPr>
          <w:lang w:val="en-US"/>
        </w:rPr>
        <w:t xml:space="preserve">Since the launch of the </w:t>
      </w:r>
      <w:r w:rsidR="007A2C05">
        <w:rPr>
          <w:lang w:val="en-US"/>
        </w:rPr>
        <w:t>Johne’s Disease (</w:t>
      </w:r>
      <w:r>
        <w:rPr>
          <w:lang w:val="en-US"/>
        </w:rPr>
        <w:t>JD</w:t>
      </w:r>
      <w:r w:rsidR="007A2C05">
        <w:rPr>
          <w:lang w:val="en-US"/>
        </w:rPr>
        <w:t>)</w:t>
      </w:r>
      <w:r>
        <w:rPr>
          <w:lang w:val="en-US"/>
        </w:rPr>
        <w:t xml:space="preserve"> Tracker tool in July 2021 the colour coding (benchmarks) </w:t>
      </w:r>
      <w:r w:rsidR="00ED2622">
        <w:rPr>
          <w:lang w:val="en-US"/>
        </w:rPr>
        <w:t>have been</w:t>
      </w:r>
      <w:r>
        <w:rPr>
          <w:lang w:val="en-US"/>
        </w:rPr>
        <w:t xml:space="preserve"> based on data collated in 2020 from 253 herds</w:t>
      </w:r>
      <w:r w:rsidR="00B17E43">
        <w:rPr>
          <w:lang w:val="en-US"/>
        </w:rPr>
        <w:t xml:space="preserve"> (Table 1)</w:t>
      </w:r>
      <w:r>
        <w:rPr>
          <w:lang w:val="en-US"/>
        </w:rPr>
        <w:t xml:space="preserve">. </w:t>
      </w:r>
      <w:r w:rsidR="00E51DF9">
        <w:rPr>
          <w:lang w:val="en-US"/>
        </w:rPr>
        <w:t>However, a</w:t>
      </w:r>
      <w:r w:rsidR="007A2C05">
        <w:rPr>
          <w:lang w:val="en-US"/>
        </w:rPr>
        <w:t>s the JD situation in</w:t>
      </w:r>
      <w:r w:rsidR="00820C48">
        <w:rPr>
          <w:lang w:val="en-US"/>
        </w:rPr>
        <w:t xml:space="preserve"> herds across </w:t>
      </w:r>
      <w:r w:rsidR="007A2C05">
        <w:rPr>
          <w:lang w:val="en-US"/>
        </w:rPr>
        <w:t xml:space="preserve">Great Britain </w:t>
      </w:r>
      <w:r w:rsidR="009E1E29">
        <w:rPr>
          <w:lang w:val="en-US"/>
        </w:rPr>
        <w:t xml:space="preserve">(GB) </w:t>
      </w:r>
      <w:r w:rsidR="007A2C05">
        <w:rPr>
          <w:lang w:val="en-US"/>
        </w:rPr>
        <w:t>has improved, these benchmar</w:t>
      </w:r>
      <w:r w:rsidR="00812C69">
        <w:rPr>
          <w:lang w:val="en-US"/>
        </w:rPr>
        <w:t xml:space="preserve">ks </w:t>
      </w:r>
      <w:r w:rsidR="000E3F77">
        <w:rPr>
          <w:lang w:val="en-US"/>
        </w:rPr>
        <w:t>have become</w:t>
      </w:r>
      <w:r w:rsidR="00812C69">
        <w:rPr>
          <w:lang w:val="en-US"/>
        </w:rPr>
        <w:t xml:space="preserve"> outdated</w:t>
      </w:r>
      <w:r w:rsidR="00ED2622">
        <w:rPr>
          <w:lang w:val="en-US"/>
        </w:rPr>
        <w:t>, and now with the launch of Phase III of the National Johne’s Management Plan (NJMP) on March 31</w:t>
      </w:r>
      <w:r w:rsidR="00ED2622" w:rsidRPr="00824F1C">
        <w:rPr>
          <w:vertAlign w:val="superscript"/>
          <w:lang w:val="en-US"/>
        </w:rPr>
        <w:t>st</w:t>
      </w:r>
      <w:r w:rsidR="00ED2622">
        <w:rPr>
          <w:lang w:val="en-US"/>
        </w:rPr>
        <w:t xml:space="preserve"> 2025 it is time to refresh </w:t>
      </w:r>
      <w:proofErr w:type="spellStart"/>
      <w:r w:rsidR="00ED2622">
        <w:rPr>
          <w:lang w:val="en-US"/>
        </w:rPr>
        <w:t>them</w:t>
      </w:r>
      <w:r w:rsidR="008C1063">
        <w:rPr>
          <w:lang w:val="en-US"/>
        </w:rPr>
        <w:t>As</w:t>
      </w:r>
      <w:proofErr w:type="spellEnd"/>
      <w:r w:rsidR="008C1063">
        <w:rPr>
          <w:lang w:val="en-US"/>
        </w:rPr>
        <w:t xml:space="preserve"> shown in Figure 1, b</w:t>
      </w:r>
      <w:r w:rsidR="0033649C">
        <w:rPr>
          <w:lang w:val="en-US"/>
        </w:rPr>
        <w:t>ased on data from quarterly testing herds</w:t>
      </w:r>
      <w:r w:rsidR="008C1063">
        <w:rPr>
          <w:lang w:val="en-US"/>
        </w:rPr>
        <w:t xml:space="preserve"> within the National JD Tracker database,</w:t>
      </w:r>
      <w:r w:rsidR="008C1063" w:rsidRPr="008C1063">
        <w:rPr>
          <w:lang w:val="en-US"/>
        </w:rPr>
        <w:t xml:space="preserve"> </w:t>
      </w:r>
      <w:r w:rsidR="008C1063">
        <w:rPr>
          <w:lang w:val="en-US"/>
        </w:rPr>
        <w:t xml:space="preserve">the benchmarks generated in 2020 </w:t>
      </w:r>
      <w:r w:rsidR="00ED2622">
        <w:rPr>
          <w:lang w:val="en-US"/>
        </w:rPr>
        <w:t xml:space="preserve">now </w:t>
      </w:r>
      <w:r w:rsidR="008C1063">
        <w:rPr>
          <w:lang w:val="en-US"/>
        </w:rPr>
        <w:t>categorise 75%, 12%, 6% and 7% of quarterly testing herds as being in quartiles 1, 2, 3 and 4, respectively</w:t>
      </w:r>
      <w:r w:rsidR="00ED2622">
        <w:rPr>
          <w:lang w:val="en-US"/>
        </w:rPr>
        <w:t>, demonstrating the huge progress made in Johne’s management since 2020.</w:t>
      </w:r>
    </w:p>
    <w:p w14:paraId="2046C20D" w14:textId="77777777" w:rsidR="00E944D9" w:rsidRDefault="00A33BCA" w:rsidP="00413ABE">
      <w:pPr>
        <w:spacing w:line="276" w:lineRule="auto"/>
        <w:jc w:val="both"/>
        <w:rPr>
          <w:lang w:val="en-US"/>
        </w:rPr>
      </w:pPr>
      <w:r>
        <w:rPr>
          <w:lang w:val="en-US"/>
        </w:rPr>
        <w:t>F</w:t>
      </w:r>
      <w:r w:rsidR="00FC5830">
        <w:rPr>
          <w:lang w:val="en-US"/>
        </w:rPr>
        <w:t xml:space="preserve">rom </w:t>
      </w:r>
      <w:r w:rsidR="005403DD">
        <w:rPr>
          <w:lang w:val="en-US"/>
        </w:rPr>
        <w:t>31</w:t>
      </w:r>
      <w:r w:rsidR="005403DD" w:rsidRPr="005403DD">
        <w:rPr>
          <w:vertAlign w:val="superscript"/>
          <w:lang w:val="en-US"/>
        </w:rPr>
        <w:t>st</w:t>
      </w:r>
      <w:r w:rsidR="005403DD">
        <w:rPr>
          <w:lang w:val="en-US"/>
        </w:rPr>
        <w:t xml:space="preserve"> March 2025, </w:t>
      </w:r>
      <w:r w:rsidR="00FC5830">
        <w:rPr>
          <w:lang w:val="en-US"/>
        </w:rPr>
        <w:t xml:space="preserve">benchmarks within the JD Tracker tool will be recalculated and updated </w:t>
      </w:r>
      <w:r>
        <w:rPr>
          <w:lang w:val="en-US"/>
        </w:rPr>
        <w:t xml:space="preserve">annually </w:t>
      </w:r>
      <w:r w:rsidR="00FC5830">
        <w:rPr>
          <w:lang w:val="en-US"/>
        </w:rPr>
        <w:t>using 3-year rolling averages</w:t>
      </w:r>
      <w:r w:rsidR="00883A31">
        <w:rPr>
          <w:lang w:val="en-US"/>
        </w:rPr>
        <w:t xml:space="preserve"> </w:t>
      </w:r>
      <w:r>
        <w:rPr>
          <w:lang w:val="en-US"/>
        </w:rPr>
        <w:t>(</w:t>
      </w:r>
      <w:r w:rsidR="00B17E43">
        <w:rPr>
          <w:lang w:val="en-US"/>
        </w:rPr>
        <w:t xml:space="preserve">Table 1, </w:t>
      </w:r>
      <w:r>
        <w:rPr>
          <w:lang w:val="en-US"/>
        </w:rPr>
        <w:t xml:space="preserve">Figure 2). </w:t>
      </w:r>
      <w:r w:rsidR="008A76CD">
        <w:rPr>
          <w:lang w:val="en-US"/>
        </w:rPr>
        <w:t>For example, the 2024 rolling averages were calculated using the median values from 2022, 2023 and 2024.</w:t>
      </w:r>
      <w:r w:rsidR="00FC5830">
        <w:rPr>
          <w:lang w:val="en-US"/>
        </w:rPr>
        <w:t xml:space="preserve"> </w:t>
      </w:r>
      <w:r w:rsidR="00292436">
        <w:rPr>
          <w:lang w:val="en-US"/>
        </w:rPr>
        <w:t xml:space="preserve">These changes </w:t>
      </w:r>
      <w:r w:rsidR="00D90978">
        <w:rPr>
          <w:lang w:val="en-US"/>
        </w:rPr>
        <w:t>will result in</w:t>
      </w:r>
      <w:r w:rsidR="00AE3A51">
        <w:rPr>
          <w:lang w:val="en-US"/>
        </w:rPr>
        <w:t xml:space="preserve"> the majority of herds observing changes in colour coding across multiple JD Tracker parameters. </w:t>
      </w:r>
    </w:p>
    <w:p w14:paraId="7A35FF0D" w14:textId="77777777" w:rsidR="00E944D9" w:rsidRDefault="00AE3A51" w:rsidP="00413ABE">
      <w:pPr>
        <w:spacing w:line="276" w:lineRule="auto"/>
        <w:jc w:val="both"/>
        <w:rPr>
          <w:lang w:val="en-US"/>
        </w:rPr>
      </w:pPr>
      <w:r>
        <w:rPr>
          <w:lang w:val="en-US"/>
        </w:rPr>
        <w:t xml:space="preserve">For example, </w:t>
      </w:r>
      <w:r w:rsidR="008C1063">
        <w:rPr>
          <w:lang w:val="en-US"/>
        </w:rPr>
        <w:t xml:space="preserve">based on data from quarterly testing herds within the National JD Tracker database, </w:t>
      </w:r>
      <w:r w:rsidR="0096242E">
        <w:rPr>
          <w:lang w:val="en-US"/>
        </w:rPr>
        <w:t xml:space="preserve">an estimated 31.7% of herds will shift </w:t>
      </w:r>
      <w:r w:rsidR="00413ABE">
        <w:rPr>
          <w:lang w:val="en-US"/>
        </w:rPr>
        <w:t xml:space="preserve">1 quartile (1 – 2, 2 – 3 or 3 – 4) and 36.8% of herds will shift 2 quartiles (1 – 3, 2 – 4) for average test value (ATV). </w:t>
      </w:r>
    </w:p>
    <w:p w14:paraId="025FA884" w14:textId="73A774BA" w:rsidR="00DF3338" w:rsidRDefault="00413ABE" w:rsidP="00413ABE">
      <w:pPr>
        <w:spacing w:line="276" w:lineRule="auto"/>
        <w:jc w:val="both"/>
        <w:rPr>
          <w:b/>
          <w:bCs/>
          <w:lang w:val="en-US"/>
        </w:rPr>
      </w:pPr>
      <w:r w:rsidRPr="00824F1C">
        <w:rPr>
          <w:b/>
          <w:bCs/>
          <w:lang w:val="en-US"/>
        </w:rPr>
        <w:t>Importantly, the value</w:t>
      </w:r>
      <w:r w:rsidR="00864EA3" w:rsidRPr="00824F1C">
        <w:rPr>
          <w:b/>
          <w:bCs/>
          <w:lang w:val="en-US"/>
        </w:rPr>
        <w:t>s</w:t>
      </w:r>
      <w:r w:rsidRPr="00824F1C">
        <w:rPr>
          <w:b/>
          <w:bCs/>
          <w:lang w:val="en-US"/>
        </w:rPr>
        <w:t xml:space="preserve"> within the JD Tracker Tool will remain the same, only the colour coding (benchmarks) </w:t>
      </w:r>
      <w:r w:rsidR="00864EA3" w:rsidRPr="00824F1C">
        <w:rPr>
          <w:b/>
          <w:bCs/>
          <w:lang w:val="en-US"/>
        </w:rPr>
        <w:t>will</w:t>
      </w:r>
      <w:r w:rsidRPr="00824F1C">
        <w:rPr>
          <w:b/>
          <w:bCs/>
          <w:lang w:val="en-US"/>
        </w:rPr>
        <w:t xml:space="preserve"> chang</w:t>
      </w:r>
      <w:r w:rsidR="00864EA3" w:rsidRPr="00824F1C">
        <w:rPr>
          <w:b/>
          <w:bCs/>
          <w:lang w:val="en-US"/>
        </w:rPr>
        <w:t>e</w:t>
      </w:r>
      <w:r w:rsidRPr="00824F1C">
        <w:rPr>
          <w:b/>
          <w:bCs/>
          <w:lang w:val="en-US"/>
        </w:rPr>
        <w:t>.</w:t>
      </w:r>
      <w:r w:rsidR="00D90978" w:rsidRPr="00824F1C">
        <w:rPr>
          <w:b/>
          <w:bCs/>
          <w:lang w:val="en-US"/>
        </w:rPr>
        <w:t xml:space="preserve"> </w:t>
      </w:r>
    </w:p>
    <w:p w14:paraId="1E25BB07" w14:textId="7D794681" w:rsidR="00ED2622" w:rsidRDefault="00ED2622" w:rsidP="00413ABE">
      <w:pPr>
        <w:spacing w:line="276" w:lineRule="auto"/>
        <w:jc w:val="both"/>
        <w:rPr>
          <w:lang w:val="en-US"/>
        </w:rPr>
      </w:pPr>
      <w:r>
        <w:rPr>
          <w:lang w:val="en-US"/>
        </w:rPr>
        <w:t>Farmers seeing a change in colour for any parameters should not be disheartened.  It doesn’t mean that Johne’s in that herd has got worse, it is just a reflection of where that herd sits amongst the full cohort of quarterly testing herds.</w:t>
      </w:r>
    </w:p>
    <w:p w14:paraId="4CBE8B86" w14:textId="3604F9DB" w:rsidR="00ED2622" w:rsidRDefault="00ED2622" w:rsidP="00413ABE">
      <w:pPr>
        <w:spacing w:line="276" w:lineRule="auto"/>
        <w:jc w:val="both"/>
        <w:rPr>
          <w:lang w:val="en-US"/>
        </w:rPr>
      </w:pPr>
      <w:r>
        <w:rPr>
          <w:lang w:val="en-US"/>
        </w:rPr>
        <w:t>What is most important is how your herd is progressing and that the overall trend is showing all parameters moving in the right direction.</w:t>
      </w:r>
    </w:p>
    <w:p w14:paraId="1AB98380" w14:textId="01F466B6" w:rsidR="00ED2622" w:rsidRPr="00ED2622" w:rsidRDefault="00ED2622" w:rsidP="00413ABE">
      <w:pPr>
        <w:spacing w:line="276" w:lineRule="auto"/>
        <w:jc w:val="both"/>
        <w:rPr>
          <w:lang w:val="en-US"/>
        </w:rPr>
      </w:pPr>
      <w:r>
        <w:rPr>
          <w:lang w:val="en-US"/>
        </w:rPr>
        <w:t xml:space="preserve">The fact that the industry has moved Johne’s control forward to the extent that we need to update the Tracker parameters is </w:t>
      </w:r>
      <w:r w:rsidR="004D7F65">
        <w:rPr>
          <w:lang w:val="en-US"/>
        </w:rPr>
        <w:t>great news.  Now we can use the new figures to drive Johne’s management on again.</w:t>
      </w:r>
    </w:p>
    <w:p w14:paraId="1F1CCB7A" w14:textId="296AFF74" w:rsidR="00515689" w:rsidRDefault="00515689" w:rsidP="00413ABE">
      <w:pPr>
        <w:spacing w:line="276" w:lineRule="auto"/>
        <w:jc w:val="both"/>
        <w:rPr>
          <w:lang w:val="en-US"/>
        </w:rPr>
      </w:pPr>
      <w:r w:rsidRPr="00515689">
        <w:rPr>
          <w:b/>
          <w:bCs/>
          <w:lang w:val="en-US"/>
        </w:rPr>
        <w:t xml:space="preserve">Table </w:t>
      </w:r>
      <w:r w:rsidR="00B17E43">
        <w:rPr>
          <w:b/>
          <w:bCs/>
          <w:lang w:val="en-US"/>
        </w:rPr>
        <w:t>1</w:t>
      </w:r>
      <w:r w:rsidRPr="00515689">
        <w:rPr>
          <w:b/>
          <w:bCs/>
          <w:lang w:val="en-US"/>
        </w:rPr>
        <w:t>.</w:t>
      </w:r>
      <w:r>
        <w:rPr>
          <w:lang w:val="en-US"/>
        </w:rPr>
        <w:t xml:space="preserve"> Comparison of 2020 and 2022 – 2024 rolling benchmarks. </w:t>
      </w:r>
    </w:p>
    <w:tbl>
      <w:tblPr>
        <w:tblW w:w="8424" w:type="dxa"/>
        <w:tblLook w:val="04A0" w:firstRow="1" w:lastRow="0" w:firstColumn="1" w:lastColumn="0" w:noHBand="0" w:noVBand="1"/>
      </w:tblPr>
      <w:tblGrid>
        <w:gridCol w:w="1620"/>
        <w:gridCol w:w="1134"/>
        <w:gridCol w:w="1134"/>
        <w:gridCol w:w="1134"/>
        <w:gridCol w:w="1134"/>
        <w:gridCol w:w="1134"/>
        <w:gridCol w:w="1134"/>
      </w:tblGrid>
      <w:tr w:rsidR="00612053" w:rsidRPr="00612053" w14:paraId="59A3AA0A" w14:textId="77777777" w:rsidTr="002B1EE8">
        <w:trPr>
          <w:trHeight w:val="288"/>
        </w:trPr>
        <w:tc>
          <w:tcPr>
            <w:tcW w:w="1620" w:type="dxa"/>
            <w:vMerge w:val="restart"/>
            <w:tcBorders>
              <w:top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2AA9B1CA" w14:textId="28E61C2C" w:rsidR="00612053" w:rsidRPr="002B1EE8" w:rsidRDefault="00612053" w:rsidP="00413ABE">
            <w:pPr>
              <w:spacing w:after="0" w:line="276" w:lineRule="auto"/>
              <w:jc w:val="center"/>
              <w:rPr>
                <w:rFonts w:eastAsia="Times New Roman" w:cs="Courier New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B1EE8">
              <w:rPr>
                <w:rFonts w:eastAsia="Times New Roman" w:cs="Courier New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JD Tracker Parameters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230485" w14:textId="50234CE3" w:rsidR="00612053" w:rsidRPr="002B1EE8" w:rsidRDefault="00612053" w:rsidP="00413ABE">
            <w:pPr>
              <w:spacing w:after="0" w:line="276" w:lineRule="auto"/>
              <w:jc w:val="center"/>
              <w:rPr>
                <w:rFonts w:eastAsia="Times New Roman" w:cs="Courier New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B1EE8">
              <w:rPr>
                <w:rFonts w:eastAsia="Times New Roman" w:cs="Courier New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Annual 2020 benchmarks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23A4B0D6" w14:textId="77777777" w:rsidR="00612053" w:rsidRPr="002B1EE8" w:rsidRDefault="00612053" w:rsidP="00413ABE">
            <w:pPr>
              <w:spacing w:after="0" w:line="276" w:lineRule="auto"/>
              <w:jc w:val="center"/>
              <w:rPr>
                <w:rFonts w:eastAsia="Times New Roman" w:cs="Courier New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B1EE8">
              <w:rPr>
                <w:rFonts w:eastAsia="Times New Roman" w:cs="Courier New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Rolling benchmarks </w:t>
            </w:r>
          </w:p>
          <w:p w14:paraId="28BC44AF" w14:textId="04D61307" w:rsidR="00612053" w:rsidRPr="002B1EE8" w:rsidRDefault="00612053" w:rsidP="00413ABE">
            <w:pPr>
              <w:spacing w:after="0" w:line="276" w:lineRule="auto"/>
              <w:jc w:val="center"/>
              <w:rPr>
                <w:rFonts w:eastAsia="Times New Roman" w:cs="Courier New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B1EE8">
              <w:rPr>
                <w:rFonts w:eastAsia="Times New Roman" w:cs="Courier New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2022 to 2024</w:t>
            </w:r>
          </w:p>
        </w:tc>
      </w:tr>
      <w:tr w:rsidR="00612053" w:rsidRPr="00612053" w14:paraId="1ED68BF5" w14:textId="77777777" w:rsidTr="002B1EE8">
        <w:trPr>
          <w:trHeight w:val="288"/>
        </w:trPr>
        <w:tc>
          <w:tcPr>
            <w:tcW w:w="1620" w:type="dxa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0726377B" w14:textId="77777777" w:rsidR="00612053" w:rsidRPr="002B1EE8" w:rsidRDefault="00612053" w:rsidP="00413ABE">
            <w:pPr>
              <w:spacing w:after="0" w:line="276" w:lineRule="auto"/>
              <w:rPr>
                <w:rFonts w:eastAsia="Times New Roman" w:cs="Courier New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602B2241" w14:textId="251CC01D" w:rsidR="00612053" w:rsidRPr="002B1EE8" w:rsidRDefault="00612053" w:rsidP="00413ABE">
            <w:pPr>
              <w:spacing w:after="0" w:line="276" w:lineRule="auto"/>
              <w:jc w:val="center"/>
              <w:rPr>
                <w:rFonts w:eastAsia="Times New Roman" w:cs="Courier New"/>
                <w:b/>
                <w:bCs/>
                <w:kern w:val="0"/>
                <w:sz w:val="21"/>
                <w:szCs w:val="21"/>
                <w:lang w:eastAsia="en-GB"/>
                <w14:ligatures w14:val="none"/>
              </w:rPr>
            </w:pPr>
            <w:r w:rsidRPr="002B1EE8">
              <w:rPr>
                <w:rFonts w:eastAsia="Times New Roman" w:cs="Courier New"/>
                <w:b/>
                <w:bCs/>
                <w:kern w:val="0"/>
                <w:sz w:val="21"/>
                <w:szCs w:val="21"/>
                <w:lang w:eastAsia="en-GB"/>
                <w14:ligatures w14:val="none"/>
              </w:rPr>
              <w:t>Q1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71CDF6C5" w14:textId="7431D36C" w:rsidR="00612053" w:rsidRPr="002B1EE8" w:rsidRDefault="00612053" w:rsidP="00413ABE">
            <w:pPr>
              <w:spacing w:after="0" w:line="276" w:lineRule="auto"/>
              <w:jc w:val="center"/>
              <w:rPr>
                <w:rFonts w:eastAsia="Times New Roman" w:cs="Courier New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B1EE8">
              <w:rPr>
                <w:rFonts w:eastAsia="Times New Roman" w:cs="Courier New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Median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0580D7A2" w14:textId="63F255DE" w:rsidR="00612053" w:rsidRPr="002B1EE8" w:rsidRDefault="00612053" w:rsidP="00413ABE">
            <w:pPr>
              <w:spacing w:after="0" w:line="276" w:lineRule="auto"/>
              <w:jc w:val="center"/>
              <w:rPr>
                <w:rFonts w:eastAsia="Times New Roman" w:cs="Courier New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B1EE8">
              <w:rPr>
                <w:rFonts w:eastAsia="Times New Roman" w:cs="Courier New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Q3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3ADD2344" w14:textId="57860C55" w:rsidR="00612053" w:rsidRPr="002B1EE8" w:rsidRDefault="00612053" w:rsidP="00413ABE">
            <w:pPr>
              <w:spacing w:after="0" w:line="276" w:lineRule="auto"/>
              <w:jc w:val="center"/>
              <w:rPr>
                <w:rFonts w:eastAsia="Times New Roman" w:cs="Courier New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B1EE8">
              <w:rPr>
                <w:rFonts w:eastAsia="Times New Roman" w:cs="Courier New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Q1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509EB122" w14:textId="5BDA95F3" w:rsidR="00612053" w:rsidRPr="002B1EE8" w:rsidRDefault="00612053" w:rsidP="00413ABE">
            <w:pPr>
              <w:spacing w:after="0" w:line="276" w:lineRule="auto"/>
              <w:jc w:val="center"/>
              <w:rPr>
                <w:rFonts w:eastAsia="Times New Roman" w:cs="Courier New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B1EE8">
              <w:rPr>
                <w:rFonts w:eastAsia="Times New Roman" w:cs="Courier New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Median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72FE3F7D" w14:textId="7CA89D2F" w:rsidR="00612053" w:rsidRPr="002B1EE8" w:rsidRDefault="00612053" w:rsidP="00413ABE">
            <w:pPr>
              <w:spacing w:after="0" w:line="276" w:lineRule="auto"/>
              <w:jc w:val="center"/>
              <w:rPr>
                <w:rFonts w:eastAsia="Times New Roman" w:cs="Courier New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B1EE8">
              <w:rPr>
                <w:rFonts w:eastAsia="Times New Roman" w:cs="Courier New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Q3</w:t>
            </w:r>
          </w:p>
        </w:tc>
      </w:tr>
      <w:tr w:rsidR="006C71A4" w:rsidRPr="00F32579" w14:paraId="07B16EE1" w14:textId="77777777" w:rsidTr="006C71A4">
        <w:trPr>
          <w:trHeight w:val="288"/>
        </w:trPr>
        <w:tc>
          <w:tcPr>
            <w:tcW w:w="162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A43C" w14:textId="77777777" w:rsidR="00F32579" w:rsidRPr="00F32579" w:rsidRDefault="00F32579" w:rsidP="00413ABE">
            <w:pPr>
              <w:spacing w:after="0" w:line="276" w:lineRule="auto"/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32579"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AveTVal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7500" w14:textId="77777777" w:rsidR="00F32579" w:rsidRPr="00F32579" w:rsidRDefault="00F32579" w:rsidP="00413ABE">
            <w:pPr>
              <w:spacing w:after="0" w:line="276" w:lineRule="auto"/>
              <w:jc w:val="center"/>
              <w:rPr>
                <w:rFonts w:eastAsia="Times New Roman" w:cs="Courier New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32579">
              <w:rPr>
                <w:rFonts w:eastAsia="Times New Roman" w:cs="Courier New"/>
                <w:kern w:val="0"/>
                <w:sz w:val="21"/>
                <w:szCs w:val="21"/>
                <w:lang w:eastAsia="en-GB"/>
                <w14:ligatures w14:val="none"/>
              </w:rPr>
              <w:t>7.54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6DB8" w14:textId="77777777" w:rsidR="00F32579" w:rsidRPr="00F32579" w:rsidRDefault="00F32579" w:rsidP="00413ABE">
            <w:pPr>
              <w:spacing w:after="0" w:line="276" w:lineRule="auto"/>
              <w:jc w:val="center"/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32579"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9.23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1B30" w14:textId="77777777" w:rsidR="00F32579" w:rsidRPr="00F32579" w:rsidRDefault="00F32579" w:rsidP="00413ABE">
            <w:pPr>
              <w:spacing w:after="0" w:line="276" w:lineRule="auto"/>
              <w:jc w:val="center"/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32579"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10.82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D748" w14:textId="77777777" w:rsidR="00F32579" w:rsidRPr="00F32579" w:rsidRDefault="00F32579" w:rsidP="00413ABE">
            <w:pPr>
              <w:spacing w:after="0" w:line="276" w:lineRule="auto"/>
              <w:jc w:val="center"/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32579"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4.54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ACA3" w14:textId="77777777" w:rsidR="00F32579" w:rsidRPr="00F32579" w:rsidRDefault="00F32579" w:rsidP="00413ABE">
            <w:pPr>
              <w:spacing w:after="0" w:line="276" w:lineRule="auto"/>
              <w:jc w:val="center"/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32579"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5.81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CDFE" w14:textId="77777777" w:rsidR="00F32579" w:rsidRPr="00F32579" w:rsidRDefault="00F32579" w:rsidP="00413ABE">
            <w:pPr>
              <w:spacing w:after="0" w:line="276" w:lineRule="auto"/>
              <w:jc w:val="center"/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32579"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7.60</w:t>
            </w:r>
          </w:p>
        </w:tc>
      </w:tr>
      <w:tr w:rsidR="006C71A4" w:rsidRPr="00F32579" w14:paraId="635BCF96" w14:textId="77777777" w:rsidTr="006C71A4">
        <w:trPr>
          <w:trHeight w:val="288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6CE7" w14:textId="77777777" w:rsidR="00F32579" w:rsidRPr="00F32579" w:rsidRDefault="00F32579" w:rsidP="00413ABE">
            <w:pPr>
              <w:spacing w:after="0" w:line="276" w:lineRule="auto"/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proofErr w:type="spellStart"/>
            <w:r w:rsidRPr="00F32579"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pPOS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B879" w14:textId="77777777" w:rsidR="00F32579" w:rsidRPr="00F32579" w:rsidRDefault="00F32579" w:rsidP="00413ABE">
            <w:pPr>
              <w:spacing w:after="0" w:line="276" w:lineRule="auto"/>
              <w:jc w:val="center"/>
              <w:rPr>
                <w:rFonts w:eastAsia="Times New Roman" w:cs="Courier New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32579">
              <w:rPr>
                <w:rFonts w:eastAsia="Times New Roman" w:cs="Courier New"/>
                <w:kern w:val="0"/>
                <w:sz w:val="21"/>
                <w:szCs w:val="21"/>
                <w:lang w:eastAsia="en-GB"/>
                <w14:ligatures w14:val="none"/>
              </w:rPr>
              <w:t>2.90%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0301" w14:textId="77777777" w:rsidR="00F32579" w:rsidRPr="00F32579" w:rsidRDefault="00F32579" w:rsidP="00413ABE">
            <w:pPr>
              <w:spacing w:after="0" w:line="276" w:lineRule="auto"/>
              <w:jc w:val="center"/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32579"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4.70%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F963" w14:textId="77777777" w:rsidR="00F32579" w:rsidRPr="00F32579" w:rsidRDefault="00F32579" w:rsidP="00413ABE">
            <w:pPr>
              <w:spacing w:after="0" w:line="276" w:lineRule="auto"/>
              <w:jc w:val="center"/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32579"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6.50%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EB08" w14:textId="77777777" w:rsidR="00F32579" w:rsidRPr="00F32579" w:rsidRDefault="00F32579" w:rsidP="00413ABE">
            <w:pPr>
              <w:spacing w:after="0" w:line="276" w:lineRule="auto"/>
              <w:jc w:val="center"/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32579"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0.97%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8839" w14:textId="77777777" w:rsidR="00F32579" w:rsidRPr="00F32579" w:rsidRDefault="00F32579" w:rsidP="00413ABE">
            <w:pPr>
              <w:spacing w:after="0" w:line="276" w:lineRule="auto"/>
              <w:jc w:val="center"/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32579"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1.99%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B5EA" w14:textId="77777777" w:rsidR="00F32579" w:rsidRPr="00F32579" w:rsidRDefault="00F32579" w:rsidP="00413ABE">
            <w:pPr>
              <w:spacing w:after="0" w:line="276" w:lineRule="auto"/>
              <w:jc w:val="center"/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32579"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3.72%</w:t>
            </w:r>
          </w:p>
        </w:tc>
      </w:tr>
      <w:tr w:rsidR="006C71A4" w:rsidRPr="00F32579" w14:paraId="34DDD4B4" w14:textId="77777777" w:rsidTr="006C71A4">
        <w:trPr>
          <w:trHeight w:val="288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97D1" w14:textId="77777777" w:rsidR="00F32579" w:rsidRPr="00F32579" w:rsidRDefault="00F32579" w:rsidP="00413ABE">
            <w:pPr>
              <w:spacing w:after="0" w:line="276" w:lineRule="auto"/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32579"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pPOS60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FD19" w14:textId="77777777" w:rsidR="00F32579" w:rsidRPr="00F32579" w:rsidRDefault="00F32579" w:rsidP="00413ABE">
            <w:pPr>
              <w:spacing w:after="0" w:line="276" w:lineRule="auto"/>
              <w:jc w:val="center"/>
              <w:rPr>
                <w:rFonts w:eastAsia="Times New Roman" w:cs="Courier New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32579">
              <w:rPr>
                <w:rFonts w:eastAsia="Times New Roman" w:cs="Courier New"/>
                <w:kern w:val="0"/>
                <w:sz w:val="21"/>
                <w:szCs w:val="21"/>
                <w:lang w:eastAsia="en-GB"/>
                <w14:ligatures w14:val="none"/>
              </w:rPr>
              <w:t>0.70%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8F8F" w14:textId="77777777" w:rsidR="00F32579" w:rsidRPr="00F32579" w:rsidRDefault="00F32579" w:rsidP="00413ABE">
            <w:pPr>
              <w:spacing w:after="0" w:line="276" w:lineRule="auto"/>
              <w:jc w:val="center"/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32579"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1.40%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34F2" w14:textId="77777777" w:rsidR="00F32579" w:rsidRPr="00F32579" w:rsidRDefault="00F32579" w:rsidP="00413ABE">
            <w:pPr>
              <w:spacing w:after="0" w:line="276" w:lineRule="auto"/>
              <w:jc w:val="center"/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32579"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2.70%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F324" w14:textId="77777777" w:rsidR="00F32579" w:rsidRPr="00F32579" w:rsidRDefault="00F32579" w:rsidP="00413ABE">
            <w:pPr>
              <w:spacing w:after="0" w:line="276" w:lineRule="auto"/>
              <w:jc w:val="center"/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32579"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0.16%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9401" w14:textId="77777777" w:rsidR="00F32579" w:rsidRPr="00F32579" w:rsidRDefault="00F32579" w:rsidP="00413ABE">
            <w:pPr>
              <w:spacing w:after="0" w:line="276" w:lineRule="auto"/>
              <w:jc w:val="center"/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32579"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0.63%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C1CE" w14:textId="77777777" w:rsidR="00F32579" w:rsidRPr="00F32579" w:rsidRDefault="00F32579" w:rsidP="00413ABE">
            <w:pPr>
              <w:spacing w:after="0" w:line="276" w:lineRule="auto"/>
              <w:jc w:val="center"/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32579"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1.46%</w:t>
            </w:r>
          </w:p>
        </w:tc>
      </w:tr>
      <w:tr w:rsidR="006C71A4" w:rsidRPr="00F32579" w14:paraId="478BDCBE" w14:textId="77777777" w:rsidTr="006C71A4">
        <w:trPr>
          <w:trHeight w:val="288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C134" w14:textId="77777777" w:rsidR="00F32579" w:rsidRPr="00F32579" w:rsidRDefault="00F32579" w:rsidP="00413ABE">
            <w:pPr>
              <w:spacing w:after="0" w:line="276" w:lineRule="auto"/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32579"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pPOS100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AA20" w14:textId="77777777" w:rsidR="00F32579" w:rsidRPr="00F32579" w:rsidRDefault="00F32579" w:rsidP="00413ABE">
            <w:pPr>
              <w:spacing w:after="0" w:line="276" w:lineRule="auto"/>
              <w:jc w:val="center"/>
              <w:rPr>
                <w:rFonts w:eastAsia="Times New Roman" w:cs="Courier New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32579">
              <w:rPr>
                <w:rFonts w:eastAsia="Times New Roman" w:cs="Courier New"/>
                <w:kern w:val="0"/>
                <w:sz w:val="21"/>
                <w:szCs w:val="21"/>
                <w:lang w:eastAsia="en-GB"/>
                <w14:ligatures w14:val="none"/>
              </w:rPr>
              <w:t>0.00%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7D58" w14:textId="77777777" w:rsidR="00F32579" w:rsidRPr="00F32579" w:rsidRDefault="00F32579" w:rsidP="00413ABE">
            <w:pPr>
              <w:spacing w:after="0" w:line="276" w:lineRule="auto"/>
              <w:jc w:val="center"/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32579"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0.40%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6C23" w14:textId="77777777" w:rsidR="00F32579" w:rsidRPr="00F32579" w:rsidRDefault="00F32579" w:rsidP="00413ABE">
            <w:pPr>
              <w:spacing w:after="0" w:line="276" w:lineRule="auto"/>
              <w:jc w:val="center"/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32579"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1.10%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6C62" w14:textId="77777777" w:rsidR="00F32579" w:rsidRPr="00F32579" w:rsidRDefault="00F32579" w:rsidP="00413ABE">
            <w:pPr>
              <w:spacing w:after="0" w:line="276" w:lineRule="auto"/>
              <w:jc w:val="center"/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32579"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B435" w14:textId="77777777" w:rsidR="00F32579" w:rsidRPr="00F32579" w:rsidRDefault="00F32579" w:rsidP="00413ABE">
            <w:pPr>
              <w:spacing w:after="0" w:line="276" w:lineRule="auto"/>
              <w:jc w:val="center"/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32579"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0.19%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2F77" w14:textId="77777777" w:rsidR="00F32579" w:rsidRPr="00F32579" w:rsidRDefault="00F32579" w:rsidP="00413ABE">
            <w:pPr>
              <w:spacing w:after="0" w:line="276" w:lineRule="auto"/>
              <w:jc w:val="center"/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32579"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0.66%</w:t>
            </w:r>
          </w:p>
        </w:tc>
      </w:tr>
      <w:tr w:rsidR="006C71A4" w:rsidRPr="00F32579" w14:paraId="3CAD658E" w14:textId="77777777" w:rsidTr="006C71A4">
        <w:trPr>
          <w:trHeight w:val="288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502B" w14:textId="77777777" w:rsidR="00F32579" w:rsidRPr="00F32579" w:rsidRDefault="00F32579" w:rsidP="00413ABE">
            <w:pPr>
              <w:spacing w:after="0" w:line="276" w:lineRule="auto"/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32579"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pJ4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7816" w14:textId="77777777" w:rsidR="00F32579" w:rsidRPr="00F32579" w:rsidRDefault="00F32579" w:rsidP="00413ABE">
            <w:pPr>
              <w:spacing w:after="0" w:line="276" w:lineRule="auto"/>
              <w:jc w:val="center"/>
              <w:rPr>
                <w:rFonts w:eastAsia="Times New Roman" w:cs="Courier New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32579">
              <w:rPr>
                <w:rFonts w:eastAsia="Times New Roman" w:cs="Courier New"/>
                <w:kern w:val="0"/>
                <w:sz w:val="21"/>
                <w:szCs w:val="21"/>
                <w:lang w:eastAsia="en-GB"/>
                <w14:ligatures w14:val="none"/>
              </w:rPr>
              <w:t>1.60%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9E23" w14:textId="77777777" w:rsidR="00F32579" w:rsidRPr="00F32579" w:rsidRDefault="00F32579" w:rsidP="00413ABE">
            <w:pPr>
              <w:spacing w:after="0" w:line="276" w:lineRule="auto"/>
              <w:jc w:val="center"/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32579"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2.40%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7CC1" w14:textId="77777777" w:rsidR="00F32579" w:rsidRPr="00F32579" w:rsidRDefault="00F32579" w:rsidP="00413ABE">
            <w:pPr>
              <w:spacing w:after="0" w:line="276" w:lineRule="auto"/>
              <w:jc w:val="center"/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32579"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3.20%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E25C" w14:textId="77777777" w:rsidR="00F32579" w:rsidRPr="00F32579" w:rsidRDefault="00F32579" w:rsidP="00413ABE">
            <w:pPr>
              <w:spacing w:after="0" w:line="276" w:lineRule="auto"/>
              <w:jc w:val="center"/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32579"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0.55%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D325" w14:textId="77777777" w:rsidR="00F32579" w:rsidRPr="00F32579" w:rsidRDefault="00F32579" w:rsidP="00413ABE">
            <w:pPr>
              <w:spacing w:after="0" w:line="276" w:lineRule="auto"/>
              <w:jc w:val="center"/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32579"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1.06%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DF40" w14:textId="77777777" w:rsidR="00F32579" w:rsidRPr="00F32579" w:rsidRDefault="00F32579" w:rsidP="00413ABE">
            <w:pPr>
              <w:spacing w:after="0" w:line="276" w:lineRule="auto"/>
              <w:jc w:val="center"/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32579"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1.82%</w:t>
            </w:r>
          </w:p>
        </w:tc>
      </w:tr>
      <w:tr w:rsidR="006C71A4" w:rsidRPr="00F32579" w14:paraId="1FAD0A1D" w14:textId="77777777" w:rsidTr="006C71A4">
        <w:trPr>
          <w:trHeight w:val="288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C11D" w14:textId="77777777" w:rsidR="00F32579" w:rsidRPr="00F32579" w:rsidRDefault="00F32579" w:rsidP="00413ABE">
            <w:pPr>
              <w:spacing w:after="0" w:line="276" w:lineRule="auto"/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32579"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pP1J4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6F26" w14:textId="77777777" w:rsidR="00F32579" w:rsidRPr="00F32579" w:rsidRDefault="00F32579" w:rsidP="00413ABE">
            <w:pPr>
              <w:spacing w:after="0" w:line="276" w:lineRule="auto"/>
              <w:jc w:val="center"/>
              <w:rPr>
                <w:rFonts w:eastAsia="Times New Roman" w:cs="Courier New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32579">
              <w:rPr>
                <w:rFonts w:eastAsia="Times New Roman" w:cs="Courier New"/>
                <w:kern w:val="0"/>
                <w:sz w:val="21"/>
                <w:szCs w:val="21"/>
                <w:lang w:eastAsia="en-GB"/>
                <w14:ligatures w14:val="none"/>
              </w:rPr>
              <w:t>0.90%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B0B6" w14:textId="77777777" w:rsidR="00F32579" w:rsidRPr="00F32579" w:rsidRDefault="00F32579" w:rsidP="00413ABE">
            <w:pPr>
              <w:spacing w:after="0" w:line="276" w:lineRule="auto"/>
              <w:jc w:val="center"/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32579"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1.80%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20E4" w14:textId="77777777" w:rsidR="00F32579" w:rsidRPr="00F32579" w:rsidRDefault="00F32579" w:rsidP="00413ABE">
            <w:pPr>
              <w:spacing w:after="0" w:line="276" w:lineRule="auto"/>
              <w:jc w:val="center"/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32579"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3.00%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9E73" w14:textId="77777777" w:rsidR="00F32579" w:rsidRPr="00F32579" w:rsidRDefault="00F32579" w:rsidP="00413ABE">
            <w:pPr>
              <w:spacing w:after="0" w:line="276" w:lineRule="auto"/>
              <w:jc w:val="center"/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32579"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0.08%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7086" w14:textId="77777777" w:rsidR="00F32579" w:rsidRPr="00F32579" w:rsidRDefault="00F32579" w:rsidP="00413ABE">
            <w:pPr>
              <w:spacing w:after="0" w:line="276" w:lineRule="auto"/>
              <w:jc w:val="center"/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32579"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0.72%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C136" w14:textId="77777777" w:rsidR="00F32579" w:rsidRPr="00F32579" w:rsidRDefault="00F32579" w:rsidP="00413ABE">
            <w:pPr>
              <w:spacing w:after="0" w:line="276" w:lineRule="auto"/>
              <w:jc w:val="center"/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32579"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1.60%</w:t>
            </w:r>
          </w:p>
        </w:tc>
      </w:tr>
      <w:tr w:rsidR="006C71A4" w:rsidRPr="00F32579" w14:paraId="0AB483BC" w14:textId="77777777" w:rsidTr="006C71A4">
        <w:trPr>
          <w:trHeight w:val="288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B7AD" w14:textId="77777777" w:rsidR="00F32579" w:rsidRPr="00F32579" w:rsidRDefault="00F32579" w:rsidP="00413ABE">
            <w:pPr>
              <w:spacing w:after="0" w:line="276" w:lineRule="auto"/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32579"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pJ5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4A15" w14:textId="77777777" w:rsidR="00F32579" w:rsidRPr="00F32579" w:rsidRDefault="00F32579" w:rsidP="00413ABE">
            <w:pPr>
              <w:spacing w:after="0" w:line="276" w:lineRule="auto"/>
              <w:jc w:val="center"/>
              <w:rPr>
                <w:rFonts w:eastAsia="Times New Roman" w:cs="Courier New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32579">
              <w:rPr>
                <w:rFonts w:eastAsia="Times New Roman" w:cs="Courier New"/>
                <w:kern w:val="0"/>
                <w:sz w:val="21"/>
                <w:szCs w:val="21"/>
                <w:lang w:eastAsia="en-GB"/>
                <w14:ligatures w14:val="none"/>
              </w:rPr>
              <w:t>2.20%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C020" w14:textId="77777777" w:rsidR="00F32579" w:rsidRPr="00F32579" w:rsidRDefault="00F32579" w:rsidP="00413ABE">
            <w:pPr>
              <w:spacing w:after="0" w:line="276" w:lineRule="auto"/>
              <w:jc w:val="center"/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32579"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3.80%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63D1" w14:textId="77777777" w:rsidR="00F32579" w:rsidRPr="00F32579" w:rsidRDefault="00F32579" w:rsidP="00413ABE">
            <w:pPr>
              <w:spacing w:after="0" w:line="276" w:lineRule="auto"/>
              <w:jc w:val="center"/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32579"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5.90%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1ABF" w14:textId="77777777" w:rsidR="00F32579" w:rsidRPr="00F32579" w:rsidRDefault="00F32579" w:rsidP="00413ABE">
            <w:pPr>
              <w:spacing w:after="0" w:line="276" w:lineRule="auto"/>
              <w:jc w:val="center"/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32579"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0.56%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F8B7" w14:textId="77777777" w:rsidR="00F32579" w:rsidRPr="00F32579" w:rsidRDefault="00F32579" w:rsidP="00413ABE">
            <w:pPr>
              <w:spacing w:after="0" w:line="276" w:lineRule="auto"/>
              <w:jc w:val="center"/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32579"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1.52%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4A76" w14:textId="77777777" w:rsidR="00F32579" w:rsidRPr="00F32579" w:rsidRDefault="00F32579" w:rsidP="00413ABE">
            <w:pPr>
              <w:spacing w:after="0" w:line="276" w:lineRule="auto"/>
              <w:jc w:val="center"/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32579"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3.11%</w:t>
            </w:r>
          </w:p>
        </w:tc>
      </w:tr>
      <w:tr w:rsidR="006C71A4" w:rsidRPr="00F32579" w14:paraId="3DED1778" w14:textId="77777777" w:rsidTr="006C71A4">
        <w:trPr>
          <w:trHeight w:val="288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883B" w14:textId="77777777" w:rsidR="00F32579" w:rsidRPr="00F32579" w:rsidRDefault="00F32579" w:rsidP="00413ABE">
            <w:pPr>
              <w:spacing w:after="0" w:line="276" w:lineRule="auto"/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proofErr w:type="spellStart"/>
            <w:r w:rsidRPr="00F32579"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pPrCulls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1D77" w14:textId="77777777" w:rsidR="00F32579" w:rsidRPr="00F32579" w:rsidRDefault="00F32579" w:rsidP="00413ABE">
            <w:pPr>
              <w:spacing w:after="0" w:line="276" w:lineRule="auto"/>
              <w:jc w:val="center"/>
              <w:rPr>
                <w:rFonts w:eastAsia="Times New Roman" w:cs="Courier New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32579">
              <w:rPr>
                <w:rFonts w:eastAsia="Times New Roman" w:cs="Courier New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5CDC" w14:textId="77777777" w:rsidR="00F32579" w:rsidRPr="00F32579" w:rsidRDefault="00F32579" w:rsidP="00413ABE">
            <w:pPr>
              <w:spacing w:after="0" w:line="276" w:lineRule="auto"/>
              <w:jc w:val="center"/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32579"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3CDD" w14:textId="77777777" w:rsidR="00F32579" w:rsidRPr="00F32579" w:rsidRDefault="00F32579" w:rsidP="00413ABE">
            <w:pPr>
              <w:spacing w:after="0" w:line="276" w:lineRule="auto"/>
              <w:jc w:val="center"/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32579"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B511" w14:textId="77777777" w:rsidR="00F32579" w:rsidRPr="00F32579" w:rsidRDefault="00F32579" w:rsidP="00413ABE">
            <w:pPr>
              <w:spacing w:after="0" w:line="276" w:lineRule="auto"/>
              <w:jc w:val="center"/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32579"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0.04%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0B4A" w14:textId="77777777" w:rsidR="00F32579" w:rsidRPr="00F32579" w:rsidRDefault="00F32579" w:rsidP="00413ABE">
            <w:pPr>
              <w:spacing w:after="0" w:line="276" w:lineRule="auto"/>
              <w:jc w:val="center"/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32579"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0.58%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05FA" w14:textId="77777777" w:rsidR="00F32579" w:rsidRPr="00F32579" w:rsidRDefault="00F32579" w:rsidP="00413ABE">
            <w:pPr>
              <w:spacing w:after="0" w:line="276" w:lineRule="auto"/>
              <w:jc w:val="center"/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32579"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1.46%</w:t>
            </w:r>
          </w:p>
        </w:tc>
      </w:tr>
      <w:tr w:rsidR="006C71A4" w:rsidRPr="00F32579" w14:paraId="0A8746FD" w14:textId="77777777" w:rsidTr="006C71A4">
        <w:trPr>
          <w:trHeight w:val="288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33A8" w14:textId="77777777" w:rsidR="00F32579" w:rsidRPr="00F32579" w:rsidRDefault="00F32579" w:rsidP="00413ABE">
            <w:pPr>
              <w:spacing w:after="0" w:line="276" w:lineRule="auto"/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32579"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RRservJ5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7E6F" w14:textId="77777777" w:rsidR="00F32579" w:rsidRPr="00F32579" w:rsidRDefault="00F32579" w:rsidP="00413ABE">
            <w:pPr>
              <w:spacing w:after="0" w:line="276" w:lineRule="auto"/>
              <w:jc w:val="center"/>
              <w:rPr>
                <w:rFonts w:eastAsia="Times New Roman" w:cs="Courier New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32579">
              <w:rPr>
                <w:rFonts w:eastAsia="Times New Roman" w:cs="Courier New"/>
                <w:kern w:val="0"/>
                <w:sz w:val="21"/>
                <w:szCs w:val="21"/>
                <w:lang w:eastAsia="en-GB"/>
                <w14:ligatures w14:val="none"/>
              </w:rPr>
              <w:t>0.24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5053" w14:textId="77777777" w:rsidR="00F32579" w:rsidRPr="00F32579" w:rsidRDefault="00F32579" w:rsidP="00413ABE">
            <w:pPr>
              <w:spacing w:after="0" w:line="276" w:lineRule="auto"/>
              <w:jc w:val="center"/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32579"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5E7C" w14:textId="77777777" w:rsidR="00F32579" w:rsidRPr="00F32579" w:rsidRDefault="00F32579" w:rsidP="00413ABE">
            <w:pPr>
              <w:spacing w:after="0" w:line="276" w:lineRule="auto"/>
              <w:jc w:val="center"/>
              <w:rPr>
                <w:rFonts w:eastAsia="Times New Roman" w:cs="Courier New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32579">
              <w:rPr>
                <w:rFonts w:eastAsia="Times New Roman" w:cs="Courier New"/>
                <w:kern w:val="0"/>
                <w:sz w:val="21"/>
                <w:szCs w:val="21"/>
                <w:lang w:eastAsia="en-GB"/>
                <w14:ligatures w14:val="none"/>
              </w:rPr>
              <w:t>0.80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AF30" w14:textId="77777777" w:rsidR="00F32579" w:rsidRPr="00F32579" w:rsidRDefault="00F32579" w:rsidP="00413ABE">
            <w:pPr>
              <w:spacing w:after="0" w:line="276" w:lineRule="auto"/>
              <w:jc w:val="center"/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32579"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8CE5" w14:textId="77777777" w:rsidR="00F32579" w:rsidRPr="00F32579" w:rsidRDefault="00F32579" w:rsidP="00413ABE">
            <w:pPr>
              <w:spacing w:after="0" w:line="276" w:lineRule="auto"/>
              <w:jc w:val="center"/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32579"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F978" w14:textId="77777777" w:rsidR="00F32579" w:rsidRPr="00F32579" w:rsidRDefault="00F32579" w:rsidP="00413ABE">
            <w:pPr>
              <w:spacing w:after="0" w:line="276" w:lineRule="auto"/>
              <w:jc w:val="center"/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32579"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0.74</w:t>
            </w:r>
          </w:p>
        </w:tc>
      </w:tr>
      <w:tr w:rsidR="006C71A4" w:rsidRPr="00F32579" w14:paraId="17B637D1" w14:textId="77777777" w:rsidTr="006C71A4">
        <w:trPr>
          <w:trHeight w:val="288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BB1BF3" w14:textId="77777777" w:rsidR="00F32579" w:rsidRPr="00F32579" w:rsidRDefault="00F32579" w:rsidP="00413ABE">
            <w:pPr>
              <w:spacing w:after="0" w:line="276" w:lineRule="auto"/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32579"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RRexitJ5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EA0E" w14:textId="77777777" w:rsidR="00F32579" w:rsidRPr="00F32579" w:rsidRDefault="00F32579" w:rsidP="00413ABE">
            <w:pPr>
              <w:spacing w:after="0" w:line="276" w:lineRule="auto"/>
              <w:jc w:val="center"/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32579"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FE72" w14:textId="77777777" w:rsidR="00F32579" w:rsidRPr="00F32579" w:rsidRDefault="00F32579" w:rsidP="00413ABE">
            <w:pPr>
              <w:spacing w:after="0" w:line="276" w:lineRule="auto"/>
              <w:jc w:val="center"/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32579"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2.69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2059" w14:textId="77777777" w:rsidR="00F32579" w:rsidRPr="00F32579" w:rsidRDefault="00F32579" w:rsidP="00413ABE">
            <w:pPr>
              <w:spacing w:after="0" w:line="276" w:lineRule="auto"/>
              <w:jc w:val="center"/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32579"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1.81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D45E" w14:textId="77777777" w:rsidR="00F32579" w:rsidRPr="00F32579" w:rsidRDefault="00F32579" w:rsidP="00413ABE">
            <w:pPr>
              <w:spacing w:after="0" w:line="276" w:lineRule="auto"/>
              <w:jc w:val="center"/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32579"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F26A" w14:textId="77777777" w:rsidR="00F32579" w:rsidRPr="00F32579" w:rsidRDefault="00F32579" w:rsidP="00413ABE">
            <w:pPr>
              <w:spacing w:after="0" w:line="276" w:lineRule="auto"/>
              <w:jc w:val="center"/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32579"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3.13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A54C" w14:textId="77777777" w:rsidR="00F32579" w:rsidRPr="00F32579" w:rsidRDefault="00F32579" w:rsidP="00413ABE">
            <w:pPr>
              <w:spacing w:after="0" w:line="276" w:lineRule="auto"/>
              <w:jc w:val="center"/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32579">
              <w:rPr>
                <w:rFonts w:eastAsia="Times New Roman" w:cs="Courier New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5.04</w:t>
            </w:r>
          </w:p>
        </w:tc>
      </w:tr>
    </w:tbl>
    <w:p w14:paraId="18AC1E53" w14:textId="77777777" w:rsidR="006F7C88" w:rsidRDefault="006F7C88" w:rsidP="00413ABE">
      <w:pPr>
        <w:spacing w:line="276" w:lineRule="auto"/>
        <w:jc w:val="both"/>
        <w:rPr>
          <w:lang w:val="en-US"/>
        </w:rPr>
      </w:pPr>
    </w:p>
    <w:p w14:paraId="2C024D96" w14:textId="77777777" w:rsidR="00FE402B" w:rsidRDefault="00FE402B" w:rsidP="00413ABE">
      <w:pPr>
        <w:spacing w:line="276" w:lineRule="auto"/>
        <w:jc w:val="both"/>
        <w:rPr>
          <w:lang w:val="en-US"/>
        </w:rPr>
      </w:pPr>
    </w:p>
    <w:p w14:paraId="2C63C340" w14:textId="087DEEF9" w:rsidR="00310CA7" w:rsidRDefault="00310CA7" w:rsidP="00413ABE">
      <w:pPr>
        <w:spacing w:line="276" w:lineRule="auto"/>
        <w:jc w:val="both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2BB07F1" wp14:editId="59F0D0B6">
            <wp:extent cx="4559935" cy="2749550"/>
            <wp:effectExtent l="0" t="0" r="0" b="0"/>
            <wp:docPr id="19273025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935" cy="274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213B32" w14:textId="54A4223B" w:rsidR="00310CA7" w:rsidRDefault="00310CA7" w:rsidP="00413ABE">
      <w:pPr>
        <w:spacing w:line="276" w:lineRule="auto"/>
        <w:jc w:val="both"/>
        <w:rPr>
          <w:lang w:val="en-US"/>
        </w:rPr>
      </w:pPr>
      <w:r w:rsidRPr="00F12B41">
        <w:rPr>
          <w:b/>
          <w:bCs/>
          <w:lang w:val="en-US"/>
        </w:rPr>
        <w:t>Figure 1</w:t>
      </w:r>
      <w:r>
        <w:rPr>
          <w:lang w:val="en-US"/>
        </w:rPr>
        <w:t xml:space="preserve">. </w:t>
      </w:r>
      <w:r w:rsidR="00B40218">
        <w:rPr>
          <w:lang w:val="en-US"/>
        </w:rPr>
        <w:t xml:space="preserve"> The proportion of </w:t>
      </w:r>
      <w:r w:rsidR="009D1C7C">
        <w:rPr>
          <w:lang w:val="en-US"/>
        </w:rPr>
        <w:t xml:space="preserve">quarterly testing herds within the National JD Tracker database within each quartile within the </w:t>
      </w:r>
      <w:r w:rsidR="00F12B41">
        <w:rPr>
          <w:lang w:val="en-US"/>
        </w:rPr>
        <w:t xml:space="preserve">2024 </w:t>
      </w:r>
      <w:r w:rsidR="009D1C7C">
        <w:rPr>
          <w:lang w:val="en-US"/>
        </w:rPr>
        <w:t xml:space="preserve">calendar year </w:t>
      </w:r>
      <w:r w:rsidR="00F12B41">
        <w:rPr>
          <w:lang w:val="en-US"/>
        </w:rPr>
        <w:t xml:space="preserve">based </w:t>
      </w:r>
      <w:r w:rsidR="009D1C7C">
        <w:rPr>
          <w:lang w:val="en-US"/>
        </w:rPr>
        <w:t xml:space="preserve">on 2020 benchmarks </w:t>
      </w:r>
      <w:r w:rsidR="00F12B41">
        <w:rPr>
          <w:lang w:val="en-US"/>
        </w:rPr>
        <w:t>.</w:t>
      </w:r>
    </w:p>
    <w:p w14:paraId="32D40A88" w14:textId="77777777" w:rsidR="00F12B41" w:rsidRDefault="00F12B41" w:rsidP="00413ABE">
      <w:pPr>
        <w:spacing w:line="276" w:lineRule="auto"/>
        <w:jc w:val="both"/>
        <w:rPr>
          <w:lang w:val="en-US"/>
        </w:rPr>
      </w:pPr>
    </w:p>
    <w:p w14:paraId="65599863" w14:textId="5FFA9145" w:rsidR="0001728D" w:rsidRDefault="0001728D" w:rsidP="00413ABE">
      <w:pPr>
        <w:spacing w:line="276" w:lineRule="auto"/>
        <w:jc w:val="both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C9DC485" wp14:editId="16BC5FFF">
            <wp:extent cx="4559935" cy="2798445"/>
            <wp:effectExtent l="0" t="0" r="0" b="1905"/>
            <wp:docPr id="15309668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935" cy="279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37F8BD" w14:textId="37C215B0" w:rsidR="0001728D" w:rsidRDefault="0001728D" w:rsidP="00413ABE">
      <w:pPr>
        <w:spacing w:line="276" w:lineRule="auto"/>
        <w:jc w:val="both"/>
        <w:rPr>
          <w:lang w:val="en-US"/>
        </w:rPr>
      </w:pPr>
      <w:r w:rsidRPr="00F12B41">
        <w:rPr>
          <w:b/>
          <w:bCs/>
          <w:lang w:val="en-US"/>
        </w:rPr>
        <w:t xml:space="preserve">Figure </w:t>
      </w:r>
      <w:r>
        <w:rPr>
          <w:b/>
          <w:bCs/>
          <w:lang w:val="en-US"/>
        </w:rPr>
        <w:t>2</w:t>
      </w:r>
      <w:r>
        <w:rPr>
          <w:lang w:val="en-US"/>
        </w:rPr>
        <w:t xml:space="preserve">.  The proportion of quarterly testing herds within the National JD Tracker database within each quartile within the 2024 calendar year based on </w:t>
      </w:r>
      <w:r w:rsidR="00FB6A4F">
        <w:rPr>
          <w:lang w:val="en-US"/>
        </w:rPr>
        <w:t xml:space="preserve">a 3-year rolling average (2022 to 2024). </w:t>
      </w:r>
    </w:p>
    <w:p w14:paraId="4DBE5AB1" w14:textId="77777777" w:rsidR="00DD4F10" w:rsidRDefault="00DD4F10" w:rsidP="000A3AF6">
      <w:pPr>
        <w:spacing w:line="276" w:lineRule="auto"/>
        <w:rPr>
          <w:b/>
          <w:bCs/>
          <w:lang w:val="en-US"/>
        </w:rPr>
      </w:pPr>
    </w:p>
    <w:p w14:paraId="6554F14B" w14:textId="6EBFD6A5" w:rsidR="000A3AF6" w:rsidRDefault="000A3AF6" w:rsidP="000A3AF6">
      <w:pPr>
        <w:spacing w:line="276" w:lineRule="auto"/>
        <w:rPr>
          <w:lang w:val="en-US"/>
        </w:rPr>
        <w:sectPr w:rsidR="000A3AF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B73BF2B" w14:textId="2A341EF0" w:rsidR="005F4765" w:rsidRDefault="005F4765" w:rsidP="00413ABE">
      <w:pPr>
        <w:spacing w:line="276" w:lineRule="auto"/>
        <w:rPr>
          <w:lang w:val="en-US"/>
        </w:rPr>
      </w:pPr>
      <w:r w:rsidRPr="00FE402B">
        <w:rPr>
          <w:b/>
          <w:bCs/>
          <w:lang w:val="en-US"/>
        </w:rPr>
        <w:lastRenderedPageBreak/>
        <w:t>Table 3</w:t>
      </w:r>
      <w:r>
        <w:rPr>
          <w:lang w:val="en-US"/>
        </w:rPr>
        <w:t xml:space="preserve">. Case studies </w:t>
      </w:r>
      <w:r w:rsidR="00FE402B">
        <w:rPr>
          <w:lang w:val="en-US"/>
        </w:rPr>
        <w:t>showing the effects of changing the JD Tracker benchmarks on the colour coding within the JD Tracker tool.</w:t>
      </w:r>
    </w:p>
    <w:tbl>
      <w:tblPr>
        <w:tblW w:w="13200" w:type="dxa"/>
        <w:jc w:val="center"/>
        <w:tblLook w:val="04A0" w:firstRow="1" w:lastRow="0" w:firstColumn="1" w:lastColumn="0" w:noHBand="0" w:noVBand="1"/>
      </w:tblPr>
      <w:tblGrid>
        <w:gridCol w:w="148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062"/>
      </w:tblGrid>
      <w:tr w:rsidR="006B342B" w:rsidRPr="00F9185D" w14:paraId="17D6A604" w14:textId="77777777" w:rsidTr="000A3AF6">
        <w:trPr>
          <w:trHeight w:val="288"/>
          <w:jc w:val="center"/>
        </w:trPr>
        <w:tc>
          <w:tcPr>
            <w:tcW w:w="13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6CFEF606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Courier New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B342B">
              <w:rPr>
                <w:rFonts w:ascii="Aptos" w:eastAsia="Times New Roman" w:hAnsi="Aptos" w:cs="Courier New"/>
                <w:b/>
                <w:bCs/>
                <w:color w:val="000000"/>
                <w:kern w:val="0"/>
                <w:lang w:eastAsia="en-GB"/>
                <w14:ligatures w14:val="none"/>
              </w:rPr>
              <w:t>Benchmarks</w:t>
            </w:r>
          </w:p>
        </w:tc>
        <w:tc>
          <w:tcPr>
            <w:tcW w:w="12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0C312D15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Courier New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B342B">
              <w:rPr>
                <w:rFonts w:ascii="Aptos" w:eastAsia="Times New Roman" w:hAnsi="Aptos" w:cs="Courier New"/>
                <w:b/>
                <w:bCs/>
                <w:color w:val="000000"/>
                <w:kern w:val="0"/>
                <w:lang w:eastAsia="en-GB"/>
                <w14:ligatures w14:val="none"/>
              </w:rPr>
              <w:t>AveTVal</w:t>
            </w:r>
          </w:p>
        </w:tc>
        <w:tc>
          <w:tcPr>
            <w:tcW w:w="12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559B3D7E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Courier New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6B342B">
              <w:rPr>
                <w:rFonts w:ascii="Aptos" w:eastAsia="Times New Roman" w:hAnsi="Aptos" w:cs="Courier New"/>
                <w:b/>
                <w:bCs/>
                <w:color w:val="000000"/>
                <w:kern w:val="0"/>
                <w:lang w:eastAsia="en-GB"/>
                <w14:ligatures w14:val="none"/>
              </w:rPr>
              <w:t>pPOS</w:t>
            </w:r>
            <w:proofErr w:type="spellEnd"/>
          </w:p>
        </w:tc>
        <w:tc>
          <w:tcPr>
            <w:tcW w:w="12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3F92F3D3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Courier New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B342B">
              <w:rPr>
                <w:rFonts w:ascii="Aptos" w:eastAsia="Times New Roman" w:hAnsi="Aptos" w:cs="Courier New"/>
                <w:b/>
                <w:bCs/>
                <w:color w:val="000000"/>
                <w:kern w:val="0"/>
                <w:lang w:eastAsia="en-GB"/>
                <w14:ligatures w14:val="none"/>
              </w:rPr>
              <w:t>pPOS60</w:t>
            </w:r>
          </w:p>
        </w:tc>
        <w:tc>
          <w:tcPr>
            <w:tcW w:w="12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03A0B275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Courier New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B342B">
              <w:rPr>
                <w:rFonts w:ascii="Aptos" w:eastAsia="Times New Roman" w:hAnsi="Aptos" w:cs="Courier New"/>
                <w:b/>
                <w:bCs/>
                <w:color w:val="000000"/>
                <w:kern w:val="0"/>
                <w:lang w:eastAsia="en-GB"/>
                <w14:ligatures w14:val="none"/>
              </w:rPr>
              <w:t>pPOS100</w:t>
            </w:r>
          </w:p>
        </w:tc>
        <w:tc>
          <w:tcPr>
            <w:tcW w:w="12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46EAECF3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Courier New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B342B">
              <w:rPr>
                <w:rFonts w:ascii="Aptos" w:eastAsia="Times New Roman" w:hAnsi="Aptos" w:cs="Courier New"/>
                <w:b/>
                <w:bCs/>
                <w:color w:val="000000"/>
                <w:kern w:val="0"/>
                <w:lang w:eastAsia="en-GB"/>
                <w14:ligatures w14:val="none"/>
              </w:rPr>
              <w:t>pJ4</w:t>
            </w:r>
          </w:p>
        </w:tc>
        <w:tc>
          <w:tcPr>
            <w:tcW w:w="12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3D90F3D4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Courier New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B342B">
              <w:rPr>
                <w:rFonts w:ascii="Aptos" w:eastAsia="Times New Roman" w:hAnsi="Aptos" w:cs="Courier New"/>
                <w:b/>
                <w:bCs/>
                <w:color w:val="000000"/>
                <w:kern w:val="0"/>
                <w:lang w:eastAsia="en-GB"/>
                <w14:ligatures w14:val="none"/>
              </w:rPr>
              <w:t>pP1J4</w:t>
            </w:r>
          </w:p>
        </w:tc>
        <w:tc>
          <w:tcPr>
            <w:tcW w:w="12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7CE6E5C7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Courier New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B342B">
              <w:rPr>
                <w:rFonts w:ascii="Aptos" w:eastAsia="Times New Roman" w:hAnsi="Aptos" w:cs="Courier New"/>
                <w:b/>
                <w:bCs/>
                <w:color w:val="000000"/>
                <w:kern w:val="0"/>
                <w:lang w:eastAsia="en-GB"/>
                <w14:ligatures w14:val="none"/>
              </w:rPr>
              <w:t>pJ5</w:t>
            </w:r>
          </w:p>
        </w:tc>
        <w:tc>
          <w:tcPr>
            <w:tcW w:w="12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4109F45C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Courier New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6B342B">
              <w:rPr>
                <w:rFonts w:ascii="Aptos" w:eastAsia="Times New Roman" w:hAnsi="Aptos" w:cs="Courier New"/>
                <w:b/>
                <w:bCs/>
                <w:color w:val="000000"/>
                <w:kern w:val="0"/>
                <w:lang w:eastAsia="en-GB"/>
                <w14:ligatures w14:val="none"/>
              </w:rPr>
              <w:t>pPrCulls</w:t>
            </w:r>
            <w:proofErr w:type="spellEnd"/>
          </w:p>
        </w:tc>
        <w:tc>
          <w:tcPr>
            <w:tcW w:w="12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35F04B02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Courier New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B342B">
              <w:rPr>
                <w:rFonts w:ascii="Aptos" w:eastAsia="Times New Roman" w:hAnsi="Aptos" w:cs="Courier New"/>
                <w:b/>
                <w:bCs/>
                <w:color w:val="000000"/>
                <w:kern w:val="0"/>
                <w:lang w:eastAsia="en-GB"/>
                <w14:ligatures w14:val="none"/>
              </w:rPr>
              <w:t>RRservJ5</w:t>
            </w:r>
          </w:p>
        </w:tc>
        <w:tc>
          <w:tcPr>
            <w:tcW w:w="104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5E7A608B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Courier New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B342B">
              <w:rPr>
                <w:rFonts w:ascii="Aptos" w:eastAsia="Times New Roman" w:hAnsi="Aptos" w:cs="Courier New"/>
                <w:b/>
                <w:bCs/>
                <w:color w:val="000000"/>
                <w:kern w:val="0"/>
                <w:lang w:eastAsia="en-GB"/>
                <w14:ligatures w14:val="none"/>
              </w:rPr>
              <w:t>RRexitJ5</w:t>
            </w:r>
          </w:p>
        </w:tc>
      </w:tr>
      <w:tr w:rsidR="006C71A4" w:rsidRPr="00F9185D" w14:paraId="757D7B8E" w14:textId="77777777" w:rsidTr="000A3AF6">
        <w:trPr>
          <w:trHeight w:val="288"/>
          <w:jc w:val="center"/>
        </w:trPr>
        <w:tc>
          <w:tcPr>
            <w:tcW w:w="13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ABA20D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</w:pPr>
            <w:r w:rsidRPr="006B342B"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  <w:t>2020</w:t>
            </w:r>
          </w:p>
        </w:tc>
        <w:tc>
          <w:tcPr>
            <w:tcW w:w="12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00B050"/>
            <w:noWrap/>
            <w:vAlign w:val="center"/>
            <w:hideMark/>
          </w:tcPr>
          <w:p w14:paraId="737481D8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</w:pPr>
            <w:r w:rsidRPr="006B342B"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  <w:t>5.5</w:t>
            </w:r>
          </w:p>
        </w:tc>
        <w:tc>
          <w:tcPr>
            <w:tcW w:w="12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E2EFDA"/>
            <w:noWrap/>
            <w:vAlign w:val="center"/>
            <w:hideMark/>
          </w:tcPr>
          <w:p w14:paraId="57A6335A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</w:pPr>
            <w:r w:rsidRPr="006B342B"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  <w:t>3.1%</w:t>
            </w:r>
          </w:p>
        </w:tc>
        <w:tc>
          <w:tcPr>
            <w:tcW w:w="12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00B050"/>
            <w:noWrap/>
            <w:vAlign w:val="center"/>
            <w:hideMark/>
          </w:tcPr>
          <w:p w14:paraId="1E0CF584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</w:pPr>
            <w:r w:rsidRPr="006B342B"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  <w:t>0.0%</w:t>
            </w:r>
          </w:p>
        </w:tc>
        <w:tc>
          <w:tcPr>
            <w:tcW w:w="12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00B050"/>
            <w:noWrap/>
            <w:vAlign w:val="center"/>
            <w:hideMark/>
          </w:tcPr>
          <w:p w14:paraId="7233790E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</w:pPr>
            <w:r w:rsidRPr="006B342B"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  <w:t>0.0%</w:t>
            </w:r>
          </w:p>
        </w:tc>
        <w:tc>
          <w:tcPr>
            <w:tcW w:w="12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FFF00"/>
            <w:noWrap/>
            <w:vAlign w:val="center"/>
            <w:hideMark/>
          </w:tcPr>
          <w:p w14:paraId="3BB7FF74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</w:pPr>
            <w:r w:rsidRPr="006B342B"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  <w:t>2.7%</w:t>
            </w:r>
          </w:p>
        </w:tc>
        <w:tc>
          <w:tcPr>
            <w:tcW w:w="12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FFF00"/>
            <w:noWrap/>
            <w:vAlign w:val="center"/>
            <w:hideMark/>
          </w:tcPr>
          <w:p w14:paraId="1CCFD83D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</w:pPr>
            <w:r w:rsidRPr="006B342B"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  <w:t>2.2%</w:t>
            </w:r>
          </w:p>
        </w:tc>
        <w:tc>
          <w:tcPr>
            <w:tcW w:w="12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00B050"/>
            <w:noWrap/>
            <w:vAlign w:val="center"/>
            <w:hideMark/>
          </w:tcPr>
          <w:p w14:paraId="6CA7607E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</w:pPr>
            <w:r w:rsidRPr="006B342B"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  <w:t>0.7%</w:t>
            </w:r>
          </w:p>
        </w:tc>
        <w:tc>
          <w:tcPr>
            <w:tcW w:w="12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2DB4C9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</w:pPr>
            <w:r w:rsidRPr="006B342B"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  <w:t>0.3%</w:t>
            </w:r>
          </w:p>
        </w:tc>
        <w:tc>
          <w:tcPr>
            <w:tcW w:w="12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00B050"/>
            <w:noWrap/>
            <w:vAlign w:val="center"/>
            <w:hideMark/>
          </w:tcPr>
          <w:p w14:paraId="307D7C54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</w:pPr>
            <w:r w:rsidRPr="006B342B"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  <w:t>0.0</w:t>
            </w:r>
          </w:p>
        </w:tc>
        <w:tc>
          <w:tcPr>
            <w:tcW w:w="104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FFF00"/>
            <w:noWrap/>
            <w:vAlign w:val="center"/>
            <w:hideMark/>
          </w:tcPr>
          <w:p w14:paraId="59177F5A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</w:pPr>
            <w:r w:rsidRPr="006B342B"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  <w:t>2.5</w:t>
            </w:r>
          </w:p>
        </w:tc>
      </w:tr>
      <w:tr w:rsidR="006B342B" w:rsidRPr="00F9185D" w14:paraId="1F9105BC" w14:textId="77777777" w:rsidTr="000A3AF6">
        <w:trPr>
          <w:trHeight w:val="288"/>
          <w:jc w:val="center"/>
        </w:trPr>
        <w:tc>
          <w:tcPr>
            <w:tcW w:w="13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F9EAF3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</w:pPr>
            <w:r w:rsidRPr="006B342B"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  <w:t>22-24</w:t>
            </w:r>
          </w:p>
        </w:tc>
        <w:tc>
          <w:tcPr>
            <w:tcW w:w="12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E2EFDA"/>
            <w:noWrap/>
            <w:vAlign w:val="center"/>
            <w:hideMark/>
          </w:tcPr>
          <w:p w14:paraId="33B74990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</w:pPr>
            <w:r w:rsidRPr="006B342B"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  <w:t>5.5</w:t>
            </w:r>
          </w:p>
        </w:tc>
        <w:tc>
          <w:tcPr>
            <w:tcW w:w="12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FFF00"/>
            <w:noWrap/>
            <w:vAlign w:val="center"/>
            <w:hideMark/>
          </w:tcPr>
          <w:p w14:paraId="198DF8A0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</w:pPr>
            <w:r w:rsidRPr="006B342B"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  <w:t>3.1%</w:t>
            </w:r>
          </w:p>
        </w:tc>
        <w:tc>
          <w:tcPr>
            <w:tcW w:w="12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00B050"/>
            <w:noWrap/>
            <w:vAlign w:val="center"/>
            <w:hideMark/>
          </w:tcPr>
          <w:p w14:paraId="7687C765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</w:pPr>
            <w:r w:rsidRPr="006B342B"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  <w:t>0.0%</w:t>
            </w:r>
          </w:p>
        </w:tc>
        <w:tc>
          <w:tcPr>
            <w:tcW w:w="12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00B050"/>
            <w:noWrap/>
            <w:vAlign w:val="center"/>
            <w:hideMark/>
          </w:tcPr>
          <w:p w14:paraId="51F97383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</w:pPr>
            <w:r w:rsidRPr="006B342B"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  <w:t>0.0%</w:t>
            </w:r>
          </w:p>
        </w:tc>
        <w:tc>
          <w:tcPr>
            <w:tcW w:w="12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F0000"/>
            <w:noWrap/>
            <w:vAlign w:val="center"/>
            <w:hideMark/>
          </w:tcPr>
          <w:p w14:paraId="69D15250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</w:pPr>
            <w:r w:rsidRPr="006B342B"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  <w:t>2.7%</w:t>
            </w:r>
          </w:p>
        </w:tc>
        <w:tc>
          <w:tcPr>
            <w:tcW w:w="12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F0000"/>
            <w:noWrap/>
            <w:vAlign w:val="center"/>
            <w:hideMark/>
          </w:tcPr>
          <w:p w14:paraId="1E4FAC38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</w:pPr>
            <w:r w:rsidRPr="006B342B"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  <w:t>2.2%</w:t>
            </w:r>
          </w:p>
        </w:tc>
        <w:tc>
          <w:tcPr>
            <w:tcW w:w="12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E2EFDA"/>
            <w:noWrap/>
            <w:vAlign w:val="center"/>
            <w:hideMark/>
          </w:tcPr>
          <w:p w14:paraId="718E9C0F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</w:pPr>
            <w:r w:rsidRPr="006B342B"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  <w:t>0.7%</w:t>
            </w:r>
          </w:p>
        </w:tc>
        <w:tc>
          <w:tcPr>
            <w:tcW w:w="12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E2EFDA"/>
            <w:noWrap/>
            <w:vAlign w:val="center"/>
            <w:hideMark/>
          </w:tcPr>
          <w:p w14:paraId="0705E2BD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</w:pPr>
            <w:r w:rsidRPr="006B342B"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  <w:t>0.3%</w:t>
            </w:r>
          </w:p>
        </w:tc>
        <w:tc>
          <w:tcPr>
            <w:tcW w:w="12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00B050"/>
            <w:noWrap/>
            <w:vAlign w:val="center"/>
            <w:hideMark/>
          </w:tcPr>
          <w:p w14:paraId="07D826BC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</w:pPr>
            <w:r w:rsidRPr="006B342B"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  <w:t>0.0</w:t>
            </w:r>
          </w:p>
        </w:tc>
        <w:tc>
          <w:tcPr>
            <w:tcW w:w="104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FFF00"/>
            <w:noWrap/>
            <w:vAlign w:val="center"/>
            <w:hideMark/>
          </w:tcPr>
          <w:p w14:paraId="0A52A502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</w:pPr>
            <w:r w:rsidRPr="006B342B"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  <w:t>2.5</w:t>
            </w:r>
          </w:p>
        </w:tc>
      </w:tr>
      <w:tr w:rsidR="006B342B" w:rsidRPr="006B342B" w14:paraId="6246D57D" w14:textId="77777777" w:rsidTr="00F9185D">
        <w:trPr>
          <w:trHeight w:val="288"/>
          <w:jc w:val="center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5C621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EA8BF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C692C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BA941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90E96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16098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3615D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B04D4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5085D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EBF57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F2121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</w:pPr>
          </w:p>
        </w:tc>
      </w:tr>
      <w:tr w:rsidR="006B342B" w:rsidRPr="00F9185D" w14:paraId="15CA7719" w14:textId="77777777" w:rsidTr="000A3AF6">
        <w:trPr>
          <w:trHeight w:val="288"/>
          <w:jc w:val="center"/>
        </w:trPr>
        <w:tc>
          <w:tcPr>
            <w:tcW w:w="13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527908D5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Courier New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B342B">
              <w:rPr>
                <w:rFonts w:ascii="Aptos" w:eastAsia="Times New Roman" w:hAnsi="Aptos" w:cs="Courier New"/>
                <w:b/>
                <w:bCs/>
                <w:color w:val="000000"/>
                <w:kern w:val="0"/>
                <w:lang w:eastAsia="en-GB"/>
                <w14:ligatures w14:val="none"/>
              </w:rPr>
              <w:t>Benchmarks</w:t>
            </w:r>
          </w:p>
        </w:tc>
        <w:tc>
          <w:tcPr>
            <w:tcW w:w="12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0854A6DA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Courier New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B342B">
              <w:rPr>
                <w:rFonts w:ascii="Aptos" w:eastAsia="Times New Roman" w:hAnsi="Aptos" w:cs="Courier New"/>
                <w:b/>
                <w:bCs/>
                <w:color w:val="000000"/>
                <w:kern w:val="0"/>
                <w:lang w:eastAsia="en-GB"/>
                <w14:ligatures w14:val="none"/>
              </w:rPr>
              <w:t>AveTVal</w:t>
            </w:r>
          </w:p>
        </w:tc>
        <w:tc>
          <w:tcPr>
            <w:tcW w:w="12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3291BA02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Courier New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6B342B">
              <w:rPr>
                <w:rFonts w:ascii="Aptos" w:eastAsia="Times New Roman" w:hAnsi="Aptos" w:cs="Courier New"/>
                <w:b/>
                <w:bCs/>
                <w:color w:val="000000"/>
                <w:kern w:val="0"/>
                <w:lang w:eastAsia="en-GB"/>
                <w14:ligatures w14:val="none"/>
              </w:rPr>
              <w:t>pPOS</w:t>
            </w:r>
            <w:proofErr w:type="spellEnd"/>
          </w:p>
        </w:tc>
        <w:tc>
          <w:tcPr>
            <w:tcW w:w="12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1B99BD24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Courier New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B342B">
              <w:rPr>
                <w:rFonts w:ascii="Aptos" w:eastAsia="Times New Roman" w:hAnsi="Aptos" w:cs="Courier New"/>
                <w:b/>
                <w:bCs/>
                <w:color w:val="000000"/>
                <w:kern w:val="0"/>
                <w:lang w:eastAsia="en-GB"/>
                <w14:ligatures w14:val="none"/>
              </w:rPr>
              <w:t>pPOS60</w:t>
            </w:r>
          </w:p>
        </w:tc>
        <w:tc>
          <w:tcPr>
            <w:tcW w:w="12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73F9BC75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Courier New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B342B">
              <w:rPr>
                <w:rFonts w:ascii="Aptos" w:eastAsia="Times New Roman" w:hAnsi="Aptos" w:cs="Courier New"/>
                <w:b/>
                <w:bCs/>
                <w:color w:val="000000"/>
                <w:kern w:val="0"/>
                <w:lang w:eastAsia="en-GB"/>
                <w14:ligatures w14:val="none"/>
              </w:rPr>
              <w:t>pPOS100</w:t>
            </w:r>
          </w:p>
        </w:tc>
        <w:tc>
          <w:tcPr>
            <w:tcW w:w="12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4EBFBF0D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Courier New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B342B">
              <w:rPr>
                <w:rFonts w:ascii="Aptos" w:eastAsia="Times New Roman" w:hAnsi="Aptos" w:cs="Courier New"/>
                <w:b/>
                <w:bCs/>
                <w:color w:val="000000"/>
                <w:kern w:val="0"/>
                <w:lang w:eastAsia="en-GB"/>
                <w14:ligatures w14:val="none"/>
              </w:rPr>
              <w:t>pJ4</w:t>
            </w:r>
          </w:p>
        </w:tc>
        <w:tc>
          <w:tcPr>
            <w:tcW w:w="12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2D113AF4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Courier New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B342B">
              <w:rPr>
                <w:rFonts w:ascii="Aptos" w:eastAsia="Times New Roman" w:hAnsi="Aptos" w:cs="Courier New"/>
                <w:b/>
                <w:bCs/>
                <w:color w:val="000000"/>
                <w:kern w:val="0"/>
                <w:lang w:eastAsia="en-GB"/>
                <w14:ligatures w14:val="none"/>
              </w:rPr>
              <w:t>pP1J4</w:t>
            </w:r>
          </w:p>
        </w:tc>
        <w:tc>
          <w:tcPr>
            <w:tcW w:w="12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090F6555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Courier New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B342B">
              <w:rPr>
                <w:rFonts w:ascii="Aptos" w:eastAsia="Times New Roman" w:hAnsi="Aptos" w:cs="Courier New"/>
                <w:b/>
                <w:bCs/>
                <w:color w:val="000000"/>
                <w:kern w:val="0"/>
                <w:lang w:eastAsia="en-GB"/>
                <w14:ligatures w14:val="none"/>
              </w:rPr>
              <w:t>pJ5</w:t>
            </w:r>
          </w:p>
        </w:tc>
        <w:tc>
          <w:tcPr>
            <w:tcW w:w="12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2EAF1452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Courier New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6B342B">
              <w:rPr>
                <w:rFonts w:ascii="Aptos" w:eastAsia="Times New Roman" w:hAnsi="Aptos" w:cs="Courier New"/>
                <w:b/>
                <w:bCs/>
                <w:color w:val="000000"/>
                <w:kern w:val="0"/>
                <w:lang w:eastAsia="en-GB"/>
                <w14:ligatures w14:val="none"/>
              </w:rPr>
              <w:t>pPrCulls</w:t>
            </w:r>
            <w:proofErr w:type="spellEnd"/>
          </w:p>
        </w:tc>
        <w:tc>
          <w:tcPr>
            <w:tcW w:w="12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0DAB483D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Courier New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B342B">
              <w:rPr>
                <w:rFonts w:ascii="Aptos" w:eastAsia="Times New Roman" w:hAnsi="Aptos" w:cs="Courier New"/>
                <w:b/>
                <w:bCs/>
                <w:color w:val="000000"/>
                <w:kern w:val="0"/>
                <w:lang w:eastAsia="en-GB"/>
                <w14:ligatures w14:val="none"/>
              </w:rPr>
              <w:t>RRservJ5</w:t>
            </w:r>
          </w:p>
        </w:tc>
        <w:tc>
          <w:tcPr>
            <w:tcW w:w="104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7EFEF358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Courier New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B342B">
              <w:rPr>
                <w:rFonts w:ascii="Aptos" w:eastAsia="Times New Roman" w:hAnsi="Aptos" w:cs="Courier New"/>
                <w:b/>
                <w:bCs/>
                <w:color w:val="000000"/>
                <w:kern w:val="0"/>
                <w:lang w:eastAsia="en-GB"/>
                <w14:ligatures w14:val="none"/>
              </w:rPr>
              <w:t>RRexitJ5</w:t>
            </w:r>
          </w:p>
        </w:tc>
      </w:tr>
      <w:tr w:rsidR="006B342B" w:rsidRPr="00F9185D" w14:paraId="73B7C15C" w14:textId="77777777" w:rsidTr="000A3AF6">
        <w:trPr>
          <w:trHeight w:val="288"/>
          <w:jc w:val="center"/>
        </w:trPr>
        <w:tc>
          <w:tcPr>
            <w:tcW w:w="13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47C4F0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</w:pPr>
            <w:r w:rsidRPr="006B342B"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  <w:t>2020</w:t>
            </w:r>
          </w:p>
        </w:tc>
        <w:tc>
          <w:tcPr>
            <w:tcW w:w="12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00B050"/>
            <w:vAlign w:val="center"/>
            <w:hideMark/>
          </w:tcPr>
          <w:p w14:paraId="435AF046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</w:pPr>
            <w:r w:rsidRPr="006B342B"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  <w:t>7.5</w:t>
            </w:r>
          </w:p>
        </w:tc>
        <w:tc>
          <w:tcPr>
            <w:tcW w:w="12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E2EFDA"/>
            <w:vAlign w:val="center"/>
            <w:hideMark/>
          </w:tcPr>
          <w:p w14:paraId="12C0730B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</w:pPr>
            <w:r w:rsidRPr="006B342B"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  <w:t>4.4%</w:t>
            </w:r>
          </w:p>
        </w:tc>
        <w:tc>
          <w:tcPr>
            <w:tcW w:w="12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FFF00"/>
            <w:vAlign w:val="center"/>
            <w:hideMark/>
          </w:tcPr>
          <w:p w14:paraId="7C0A16A7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</w:pPr>
            <w:r w:rsidRPr="006B342B"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  <w:t>2.0%</w:t>
            </w:r>
          </w:p>
        </w:tc>
        <w:tc>
          <w:tcPr>
            <w:tcW w:w="12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FFF00"/>
            <w:vAlign w:val="center"/>
            <w:hideMark/>
          </w:tcPr>
          <w:p w14:paraId="2A140492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</w:pPr>
            <w:r w:rsidRPr="006B342B"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  <w:t>0.7%</w:t>
            </w:r>
          </w:p>
        </w:tc>
        <w:tc>
          <w:tcPr>
            <w:tcW w:w="12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00B050"/>
            <w:vAlign w:val="center"/>
            <w:hideMark/>
          </w:tcPr>
          <w:p w14:paraId="5D003146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</w:pPr>
            <w:r w:rsidRPr="006B342B"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  <w:t>1.2%</w:t>
            </w:r>
          </w:p>
        </w:tc>
        <w:tc>
          <w:tcPr>
            <w:tcW w:w="12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E2EFDA"/>
            <w:vAlign w:val="center"/>
            <w:hideMark/>
          </w:tcPr>
          <w:p w14:paraId="6B6F3B45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</w:pPr>
            <w:r w:rsidRPr="006B342B"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  <w:t>1.5%</w:t>
            </w:r>
          </w:p>
        </w:tc>
        <w:tc>
          <w:tcPr>
            <w:tcW w:w="12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FFF00"/>
            <w:vAlign w:val="center"/>
            <w:hideMark/>
          </w:tcPr>
          <w:p w14:paraId="2541B50A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</w:pPr>
            <w:r w:rsidRPr="006B342B"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  <w:t>5.6%</w:t>
            </w:r>
          </w:p>
        </w:tc>
        <w:tc>
          <w:tcPr>
            <w:tcW w:w="12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4CAF48E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</w:pPr>
            <w:r w:rsidRPr="006B342B"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  <w:t>3.5%</w:t>
            </w:r>
          </w:p>
        </w:tc>
        <w:tc>
          <w:tcPr>
            <w:tcW w:w="12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F0000"/>
            <w:vAlign w:val="center"/>
            <w:hideMark/>
          </w:tcPr>
          <w:p w14:paraId="5914E711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</w:pPr>
            <w:r w:rsidRPr="006B342B"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  <w:t>0.8</w:t>
            </w:r>
          </w:p>
        </w:tc>
        <w:tc>
          <w:tcPr>
            <w:tcW w:w="104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E2EFDA"/>
            <w:noWrap/>
            <w:vAlign w:val="center"/>
            <w:hideMark/>
          </w:tcPr>
          <w:p w14:paraId="11F15E35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</w:pPr>
            <w:r w:rsidRPr="006B342B"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  <w:t>3.0</w:t>
            </w:r>
          </w:p>
        </w:tc>
      </w:tr>
      <w:tr w:rsidR="006B342B" w:rsidRPr="00F9185D" w14:paraId="136BA85D" w14:textId="77777777" w:rsidTr="000A3AF6">
        <w:trPr>
          <w:trHeight w:val="288"/>
          <w:jc w:val="center"/>
        </w:trPr>
        <w:tc>
          <w:tcPr>
            <w:tcW w:w="13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81E9C5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</w:pPr>
            <w:r w:rsidRPr="006B342B"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  <w:t>22-24</w:t>
            </w:r>
          </w:p>
        </w:tc>
        <w:tc>
          <w:tcPr>
            <w:tcW w:w="12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FFF00"/>
            <w:vAlign w:val="center"/>
            <w:hideMark/>
          </w:tcPr>
          <w:p w14:paraId="71F21470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</w:pPr>
            <w:r w:rsidRPr="006B342B"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  <w:t>7.5</w:t>
            </w:r>
          </w:p>
        </w:tc>
        <w:tc>
          <w:tcPr>
            <w:tcW w:w="12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F0000"/>
            <w:vAlign w:val="center"/>
            <w:hideMark/>
          </w:tcPr>
          <w:p w14:paraId="6F06FFDA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</w:pPr>
            <w:r w:rsidRPr="006B342B"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  <w:t>4.4%</w:t>
            </w:r>
          </w:p>
        </w:tc>
        <w:tc>
          <w:tcPr>
            <w:tcW w:w="12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F0000"/>
            <w:vAlign w:val="center"/>
            <w:hideMark/>
          </w:tcPr>
          <w:p w14:paraId="7A922F13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</w:pPr>
            <w:r w:rsidRPr="006B342B"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  <w:t>2.0%</w:t>
            </w:r>
          </w:p>
        </w:tc>
        <w:tc>
          <w:tcPr>
            <w:tcW w:w="12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F0000"/>
            <w:vAlign w:val="center"/>
            <w:hideMark/>
          </w:tcPr>
          <w:p w14:paraId="5524E6DC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</w:pPr>
            <w:r w:rsidRPr="006B342B"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  <w:t>0.7%</w:t>
            </w:r>
          </w:p>
        </w:tc>
        <w:tc>
          <w:tcPr>
            <w:tcW w:w="12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FFF00"/>
            <w:vAlign w:val="center"/>
            <w:hideMark/>
          </w:tcPr>
          <w:p w14:paraId="03B9629D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</w:pPr>
            <w:r w:rsidRPr="006B342B"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  <w:t>1.2%</w:t>
            </w:r>
          </w:p>
        </w:tc>
        <w:tc>
          <w:tcPr>
            <w:tcW w:w="12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FFF00"/>
            <w:vAlign w:val="center"/>
            <w:hideMark/>
          </w:tcPr>
          <w:p w14:paraId="7A08C898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</w:pPr>
            <w:r w:rsidRPr="006B342B"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  <w:t>1.5%</w:t>
            </w:r>
          </w:p>
        </w:tc>
        <w:tc>
          <w:tcPr>
            <w:tcW w:w="12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F0000"/>
            <w:vAlign w:val="center"/>
            <w:hideMark/>
          </w:tcPr>
          <w:p w14:paraId="3E046BD3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</w:pPr>
            <w:r w:rsidRPr="006B342B"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  <w:t>5.6%</w:t>
            </w:r>
          </w:p>
        </w:tc>
        <w:tc>
          <w:tcPr>
            <w:tcW w:w="12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F0000"/>
            <w:vAlign w:val="center"/>
            <w:hideMark/>
          </w:tcPr>
          <w:p w14:paraId="4AA95A30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</w:pPr>
            <w:r w:rsidRPr="006B342B"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  <w:t>3.5%</w:t>
            </w:r>
          </w:p>
        </w:tc>
        <w:tc>
          <w:tcPr>
            <w:tcW w:w="12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F0000"/>
            <w:vAlign w:val="center"/>
            <w:hideMark/>
          </w:tcPr>
          <w:p w14:paraId="5DF5C9CA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</w:pPr>
            <w:r w:rsidRPr="006B342B"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  <w:t>0.8</w:t>
            </w:r>
          </w:p>
        </w:tc>
        <w:tc>
          <w:tcPr>
            <w:tcW w:w="104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E2EFDA"/>
            <w:noWrap/>
            <w:vAlign w:val="center"/>
            <w:hideMark/>
          </w:tcPr>
          <w:p w14:paraId="394B28DE" w14:textId="77777777" w:rsidR="006B342B" w:rsidRPr="006B342B" w:rsidRDefault="006B342B" w:rsidP="00F9185D">
            <w:pPr>
              <w:spacing w:before="240" w:after="0" w:line="480" w:lineRule="auto"/>
              <w:jc w:val="center"/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</w:pPr>
            <w:r w:rsidRPr="006B342B">
              <w:rPr>
                <w:rFonts w:ascii="Aptos" w:eastAsia="Times New Roman" w:hAnsi="Aptos" w:cs="Courier New"/>
                <w:color w:val="000000"/>
                <w:kern w:val="0"/>
                <w:lang w:eastAsia="en-GB"/>
                <w14:ligatures w14:val="none"/>
              </w:rPr>
              <w:t>3.0</w:t>
            </w:r>
          </w:p>
        </w:tc>
      </w:tr>
    </w:tbl>
    <w:p w14:paraId="39C49A82" w14:textId="77777777" w:rsidR="00FE402B" w:rsidRDefault="00FE402B" w:rsidP="00413ABE">
      <w:pPr>
        <w:spacing w:line="276" w:lineRule="auto"/>
        <w:jc w:val="both"/>
        <w:rPr>
          <w:lang w:val="en-US"/>
        </w:rPr>
      </w:pPr>
    </w:p>
    <w:p w14:paraId="3C857601" w14:textId="77777777" w:rsidR="00FE402B" w:rsidRPr="005403DD" w:rsidRDefault="00FE402B" w:rsidP="00413ABE">
      <w:pPr>
        <w:spacing w:line="276" w:lineRule="auto"/>
        <w:jc w:val="both"/>
        <w:rPr>
          <w:lang w:val="en-US"/>
        </w:rPr>
      </w:pPr>
    </w:p>
    <w:sectPr w:rsidR="00FE402B" w:rsidRPr="005403DD" w:rsidSect="00FE402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295"/>
    <w:rsid w:val="0000206D"/>
    <w:rsid w:val="0001728D"/>
    <w:rsid w:val="0004232B"/>
    <w:rsid w:val="00090075"/>
    <w:rsid w:val="00091112"/>
    <w:rsid w:val="000A3AF6"/>
    <w:rsid w:val="000E3F77"/>
    <w:rsid w:val="000E563F"/>
    <w:rsid w:val="0010629E"/>
    <w:rsid w:val="001071A7"/>
    <w:rsid w:val="00124930"/>
    <w:rsid w:val="00166785"/>
    <w:rsid w:val="001674E7"/>
    <w:rsid w:val="001C287F"/>
    <w:rsid w:val="001E2D9A"/>
    <w:rsid w:val="00201CF5"/>
    <w:rsid w:val="00292436"/>
    <w:rsid w:val="002B1EE8"/>
    <w:rsid w:val="003000A4"/>
    <w:rsid w:val="00310CA7"/>
    <w:rsid w:val="003276E3"/>
    <w:rsid w:val="0033649C"/>
    <w:rsid w:val="0035040B"/>
    <w:rsid w:val="003631CD"/>
    <w:rsid w:val="003E5E74"/>
    <w:rsid w:val="00402360"/>
    <w:rsid w:val="00413ABE"/>
    <w:rsid w:val="004624DF"/>
    <w:rsid w:val="0049638D"/>
    <w:rsid w:val="004C5608"/>
    <w:rsid w:val="004D7F65"/>
    <w:rsid w:val="005024B8"/>
    <w:rsid w:val="00512243"/>
    <w:rsid w:val="00515689"/>
    <w:rsid w:val="00532FF9"/>
    <w:rsid w:val="00537854"/>
    <w:rsid w:val="005403DD"/>
    <w:rsid w:val="005C5D95"/>
    <w:rsid w:val="005F4765"/>
    <w:rsid w:val="00612053"/>
    <w:rsid w:val="00647B63"/>
    <w:rsid w:val="006838D6"/>
    <w:rsid w:val="006B342B"/>
    <w:rsid w:val="006B5F0F"/>
    <w:rsid w:val="006C71A4"/>
    <w:rsid w:val="006F7C88"/>
    <w:rsid w:val="007058E7"/>
    <w:rsid w:val="00713295"/>
    <w:rsid w:val="007A2C05"/>
    <w:rsid w:val="007B66B0"/>
    <w:rsid w:val="007D06F8"/>
    <w:rsid w:val="00812C69"/>
    <w:rsid w:val="00816DB6"/>
    <w:rsid w:val="00820C48"/>
    <w:rsid w:val="00824F1C"/>
    <w:rsid w:val="00832490"/>
    <w:rsid w:val="00864EA3"/>
    <w:rsid w:val="00883A31"/>
    <w:rsid w:val="0088626E"/>
    <w:rsid w:val="008A76CD"/>
    <w:rsid w:val="008C1063"/>
    <w:rsid w:val="008E5165"/>
    <w:rsid w:val="008F4441"/>
    <w:rsid w:val="00905586"/>
    <w:rsid w:val="0096242E"/>
    <w:rsid w:val="00992B37"/>
    <w:rsid w:val="009D1C7C"/>
    <w:rsid w:val="009E1E29"/>
    <w:rsid w:val="00A07CAB"/>
    <w:rsid w:val="00A10144"/>
    <w:rsid w:val="00A33BCA"/>
    <w:rsid w:val="00A50525"/>
    <w:rsid w:val="00AE3A51"/>
    <w:rsid w:val="00B17E43"/>
    <w:rsid w:val="00B37F4A"/>
    <w:rsid w:val="00B40218"/>
    <w:rsid w:val="00B51AC6"/>
    <w:rsid w:val="00B636E5"/>
    <w:rsid w:val="00BA0FE2"/>
    <w:rsid w:val="00BD0405"/>
    <w:rsid w:val="00BD1075"/>
    <w:rsid w:val="00BE6F57"/>
    <w:rsid w:val="00BF4A45"/>
    <w:rsid w:val="00BF597B"/>
    <w:rsid w:val="00C12AEE"/>
    <w:rsid w:val="00C23E5D"/>
    <w:rsid w:val="00C929E1"/>
    <w:rsid w:val="00CE5483"/>
    <w:rsid w:val="00CF55E5"/>
    <w:rsid w:val="00D90978"/>
    <w:rsid w:val="00DC2B7B"/>
    <w:rsid w:val="00DD4F10"/>
    <w:rsid w:val="00DF3338"/>
    <w:rsid w:val="00E037D3"/>
    <w:rsid w:val="00E51DF9"/>
    <w:rsid w:val="00E944D9"/>
    <w:rsid w:val="00ED2622"/>
    <w:rsid w:val="00ED2DC6"/>
    <w:rsid w:val="00F12B41"/>
    <w:rsid w:val="00F32579"/>
    <w:rsid w:val="00F51482"/>
    <w:rsid w:val="00F64A37"/>
    <w:rsid w:val="00F723C4"/>
    <w:rsid w:val="00F9185D"/>
    <w:rsid w:val="00FB668E"/>
    <w:rsid w:val="00FB6A4F"/>
    <w:rsid w:val="00FB784B"/>
    <w:rsid w:val="00FC5830"/>
    <w:rsid w:val="00FE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DFDA0"/>
  <w15:chartTrackingRefBased/>
  <w15:docId w15:val="{B530EF7D-C546-4F38-8D97-9E6CDEACF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32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3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32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32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32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32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32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32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32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32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32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32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32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32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32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32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32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32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32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3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32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32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3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32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32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32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32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32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329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F3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F4A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4A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4A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A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A4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944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Holt</dc:creator>
  <cp:keywords/>
  <dc:description/>
  <cp:lastModifiedBy>Katy Stanlake</cp:lastModifiedBy>
  <cp:revision>2</cp:revision>
  <dcterms:created xsi:type="dcterms:W3CDTF">2025-03-25T18:13:00Z</dcterms:created>
  <dcterms:modified xsi:type="dcterms:W3CDTF">2025-03-25T18:13:00Z</dcterms:modified>
</cp:coreProperties>
</file>